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2F8FE" w14:textId="7898348E" w:rsidR="007D4906" w:rsidRPr="007D4906" w:rsidRDefault="007D4906" w:rsidP="00477568">
      <w:pPr>
        <w:keepNext/>
        <w:keepLines/>
        <w:tabs>
          <w:tab w:val="center" w:pos="4680"/>
        </w:tabs>
        <w:spacing w:before="240" w:line="259" w:lineRule="auto"/>
        <w:outlineLvl w:val="0"/>
        <w:rPr>
          <w:rFonts w:asciiTheme="majorHAnsi" w:eastAsiaTheme="majorEastAsia" w:hAnsiTheme="majorHAnsi" w:cstheme="majorBidi"/>
          <w:color w:val="2F5496" w:themeColor="accent1" w:themeShade="BF"/>
          <w:kern w:val="2"/>
          <w:sz w:val="32"/>
          <w:szCs w:val="32"/>
          <w14:ligatures w14:val="standardContextual"/>
        </w:rPr>
      </w:pPr>
      <w:r w:rsidRPr="007D4906">
        <w:rPr>
          <w:rFonts w:asciiTheme="majorHAnsi" w:eastAsiaTheme="majorEastAsia" w:hAnsiTheme="majorHAnsi" w:cstheme="majorBidi"/>
          <w:color w:val="2F5496" w:themeColor="accent1" w:themeShade="BF"/>
          <w:kern w:val="2"/>
          <w:sz w:val="32"/>
          <w:szCs w:val="32"/>
          <w14:ligatures w14:val="standardContextual"/>
        </w:rPr>
        <w:t>PRESS RELEASE</w:t>
      </w:r>
      <w:r w:rsidR="00477568">
        <w:rPr>
          <w:rFonts w:asciiTheme="majorHAnsi" w:eastAsiaTheme="majorEastAsia" w:hAnsiTheme="majorHAnsi" w:cstheme="majorBidi"/>
          <w:color w:val="2F5496" w:themeColor="accent1" w:themeShade="BF"/>
          <w:kern w:val="2"/>
          <w:sz w:val="32"/>
          <w:szCs w:val="32"/>
          <w14:ligatures w14:val="standardContextual"/>
        </w:rPr>
        <w:tab/>
      </w:r>
    </w:p>
    <w:p w14:paraId="7AA6F2D3" w14:textId="44F8E347" w:rsidR="007D4906" w:rsidRPr="007D4906" w:rsidRDefault="007D4906" w:rsidP="007D4906">
      <w:r w:rsidRPr="007D4906">
        <w:t xml:space="preserve">For Immediate Release: </w:t>
      </w:r>
      <w:r w:rsidRPr="007D4906">
        <w:tab/>
      </w:r>
      <w:r>
        <w:t xml:space="preserve">March </w:t>
      </w:r>
      <w:r w:rsidR="008E04B0">
        <w:t>2</w:t>
      </w:r>
      <w:r w:rsidR="007C004E">
        <w:t>8</w:t>
      </w:r>
      <w:r w:rsidR="003F5E28">
        <w:t>, 2023</w:t>
      </w:r>
    </w:p>
    <w:p w14:paraId="71BE7E96" w14:textId="77777777" w:rsidR="007D4906" w:rsidRPr="007D4906" w:rsidRDefault="007D4906" w:rsidP="007D4906">
      <w:r w:rsidRPr="007D4906">
        <w:t xml:space="preserve">Contact: </w:t>
      </w:r>
      <w:r w:rsidRPr="007D4906">
        <w:tab/>
      </w:r>
      <w:r w:rsidRPr="007D4906">
        <w:tab/>
      </w:r>
      <w:r w:rsidRPr="007D4906">
        <w:tab/>
        <w:t>Erin Kinnard Thompson</w:t>
      </w:r>
    </w:p>
    <w:p w14:paraId="340B3D19" w14:textId="77777777" w:rsidR="007D4906" w:rsidRPr="007D4906" w:rsidRDefault="007D4906" w:rsidP="007D4906">
      <w:r w:rsidRPr="007D4906">
        <w:tab/>
      </w:r>
      <w:r w:rsidRPr="007D4906">
        <w:tab/>
      </w:r>
      <w:r w:rsidRPr="007D4906">
        <w:tab/>
      </w:r>
      <w:r w:rsidRPr="007D4906">
        <w:tab/>
        <w:t>505-795-0737</w:t>
      </w:r>
    </w:p>
    <w:p w14:paraId="2E33C49F" w14:textId="0DEFEC55" w:rsidR="007D4906" w:rsidRDefault="007D4906" w:rsidP="007D4906"/>
    <w:p w14:paraId="4E4BE2C0" w14:textId="2D0FB456" w:rsidR="00673CC2" w:rsidRPr="005B3039" w:rsidRDefault="00673CC2" w:rsidP="005B3039">
      <w:pPr>
        <w:snapToGrid w:val="0"/>
        <w:jc w:val="center"/>
        <w:rPr>
          <w:b/>
          <w:bCs/>
          <w:sz w:val="28"/>
          <w:szCs w:val="28"/>
        </w:rPr>
      </w:pPr>
      <w:r w:rsidRPr="005B3039">
        <w:rPr>
          <w:b/>
          <w:bCs/>
          <w:sz w:val="28"/>
          <w:szCs w:val="28"/>
        </w:rPr>
        <w:t xml:space="preserve">Governor </w:t>
      </w:r>
      <w:r w:rsidR="003F5E28" w:rsidRPr="005B3039">
        <w:rPr>
          <w:b/>
          <w:bCs/>
          <w:sz w:val="28"/>
          <w:szCs w:val="28"/>
        </w:rPr>
        <w:t xml:space="preserve">Lujan </w:t>
      </w:r>
      <w:r w:rsidRPr="005B3039">
        <w:rPr>
          <w:b/>
          <w:bCs/>
          <w:sz w:val="28"/>
          <w:szCs w:val="28"/>
        </w:rPr>
        <w:t>Grisham Announces $17 Million in Broadband Grant Awards to Bridge the Digital Divide in Unserved, Economically Distressed Communities</w:t>
      </w:r>
    </w:p>
    <w:p w14:paraId="5046C700" w14:textId="77777777" w:rsidR="00673CC2" w:rsidRPr="00673CC2" w:rsidRDefault="00673CC2" w:rsidP="00673CC2">
      <w:pPr>
        <w:snapToGrid w:val="0"/>
        <w:rPr>
          <w:sz w:val="22"/>
          <w:szCs w:val="22"/>
        </w:rPr>
      </w:pPr>
    </w:p>
    <w:p w14:paraId="464D3061" w14:textId="6F944A6A" w:rsidR="00673CC2" w:rsidRPr="00673CC2" w:rsidRDefault="00A16425" w:rsidP="00673CC2">
      <w:pPr>
        <w:snapToGrid w:val="0"/>
        <w:rPr>
          <w:sz w:val="22"/>
          <w:szCs w:val="22"/>
        </w:rPr>
      </w:pPr>
      <w:r>
        <w:rPr>
          <w:sz w:val="22"/>
          <w:szCs w:val="22"/>
        </w:rPr>
        <w:t>Santa Fe</w:t>
      </w:r>
      <w:r w:rsidR="00673CC2" w:rsidRPr="00673CC2">
        <w:rPr>
          <w:sz w:val="22"/>
          <w:szCs w:val="22"/>
        </w:rPr>
        <w:t>, NM – The Office of Broadband Access and Expansion (OBAE) continues the rollout of grant awards funded by the Connect New Mexico Pilot Program. The four awarded projects reflect Governor</w:t>
      </w:r>
      <w:r w:rsidR="003F5E28">
        <w:rPr>
          <w:sz w:val="22"/>
          <w:szCs w:val="22"/>
        </w:rPr>
        <w:t xml:space="preserve"> Michelle Lujan Grisham’s</w:t>
      </w:r>
      <w:r w:rsidR="00673CC2" w:rsidRPr="00673CC2">
        <w:rPr>
          <w:sz w:val="22"/>
          <w:szCs w:val="22"/>
        </w:rPr>
        <w:t xml:space="preserve"> </w:t>
      </w:r>
      <w:r w:rsidR="00A73F01">
        <w:rPr>
          <w:sz w:val="22"/>
          <w:szCs w:val="22"/>
        </w:rPr>
        <w:t xml:space="preserve">commitment </w:t>
      </w:r>
      <w:r w:rsidR="00673CC2" w:rsidRPr="00673CC2">
        <w:rPr>
          <w:sz w:val="22"/>
          <w:szCs w:val="22"/>
        </w:rPr>
        <w:t xml:space="preserve">to universal broadband availability statewide. </w:t>
      </w:r>
    </w:p>
    <w:p w14:paraId="1A45C9DD" w14:textId="77777777" w:rsidR="00673CC2" w:rsidRPr="00673CC2" w:rsidRDefault="00673CC2" w:rsidP="00673CC2">
      <w:pPr>
        <w:snapToGrid w:val="0"/>
        <w:rPr>
          <w:sz w:val="22"/>
          <w:szCs w:val="22"/>
        </w:rPr>
      </w:pPr>
    </w:p>
    <w:p w14:paraId="025DE7D9" w14:textId="273EC4FD" w:rsidR="00673CC2" w:rsidRPr="00673CC2" w:rsidRDefault="00673CC2" w:rsidP="00673CC2">
      <w:pPr>
        <w:snapToGrid w:val="0"/>
        <w:rPr>
          <w:sz w:val="22"/>
          <w:szCs w:val="22"/>
        </w:rPr>
      </w:pPr>
      <w:r w:rsidRPr="00673CC2">
        <w:rPr>
          <w:sz w:val="22"/>
          <w:szCs w:val="22"/>
        </w:rPr>
        <w:t xml:space="preserve">The Pilot Program is funded by the American Rescue Plan Act’s Coronavirus Capital Projects Fund, which is administered by the U.S. Department of Treasury. The Pilot Program directs </w:t>
      </w:r>
      <w:r w:rsidR="009E13D4">
        <w:rPr>
          <w:sz w:val="22"/>
          <w:szCs w:val="22"/>
        </w:rPr>
        <w:t xml:space="preserve">up to </w:t>
      </w:r>
      <w:r w:rsidR="00DE5A00">
        <w:rPr>
          <w:sz w:val="22"/>
          <w:szCs w:val="22"/>
        </w:rPr>
        <w:t>$117 million</w:t>
      </w:r>
      <w:r w:rsidRPr="00673CC2">
        <w:rPr>
          <w:sz w:val="22"/>
          <w:szCs w:val="22"/>
        </w:rPr>
        <w:t xml:space="preserve"> to fund broadband infrastructure expansion across unserved and underserved communities.  </w:t>
      </w:r>
    </w:p>
    <w:p w14:paraId="67942B06" w14:textId="77777777" w:rsidR="00673CC2" w:rsidRPr="00673CC2" w:rsidRDefault="00673CC2" w:rsidP="00673CC2">
      <w:pPr>
        <w:snapToGrid w:val="0"/>
        <w:rPr>
          <w:sz w:val="22"/>
          <w:szCs w:val="22"/>
        </w:rPr>
      </w:pPr>
    </w:p>
    <w:p w14:paraId="3A43720E" w14:textId="14CE4A36" w:rsidR="00673CC2" w:rsidRPr="00673CC2" w:rsidRDefault="00673CC2" w:rsidP="00673CC2">
      <w:pPr>
        <w:snapToGrid w:val="0"/>
        <w:rPr>
          <w:sz w:val="22"/>
          <w:szCs w:val="22"/>
        </w:rPr>
      </w:pPr>
      <w:r w:rsidRPr="00673CC2">
        <w:rPr>
          <w:sz w:val="22"/>
          <w:szCs w:val="22"/>
        </w:rPr>
        <w:t>The four projects</w:t>
      </w:r>
      <w:r w:rsidR="00FB4805">
        <w:rPr>
          <w:sz w:val="22"/>
          <w:szCs w:val="22"/>
        </w:rPr>
        <w:t xml:space="preserve"> selected</w:t>
      </w:r>
      <w:r w:rsidRPr="00673CC2">
        <w:rPr>
          <w:sz w:val="22"/>
          <w:szCs w:val="22"/>
        </w:rPr>
        <w:t xml:space="preserve"> will provide high-speed connectivity to over 2,500 premises across 10 qualifying rural communities. The beneficiaries include residents, businesses, community institutions, and farms. These communities </w:t>
      </w:r>
      <w:r w:rsidR="003E504C">
        <w:rPr>
          <w:sz w:val="22"/>
          <w:szCs w:val="22"/>
        </w:rPr>
        <w:t xml:space="preserve">are </w:t>
      </w:r>
      <w:r w:rsidRPr="00673CC2">
        <w:rPr>
          <w:sz w:val="22"/>
          <w:szCs w:val="22"/>
        </w:rPr>
        <w:t>economic</w:t>
      </w:r>
      <w:r w:rsidR="003E504C">
        <w:rPr>
          <w:sz w:val="22"/>
          <w:szCs w:val="22"/>
        </w:rPr>
        <w:t>ally</w:t>
      </w:r>
      <w:r w:rsidRPr="00673CC2">
        <w:rPr>
          <w:sz w:val="22"/>
          <w:szCs w:val="22"/>
        </w:rPr>
        <w:t xml:space="preserve"> distress</w:t>
      </w:r>
      <w:r w:rsidR="003E504C">
        <w:rPr>
          <w:sz w:val="22"/>
          <w:szCs w:val="22"/>
        </w:rPr>
        <w:t>ed</w:t>
      </w:r>
      <w:r w:rsidRPr="00673CC2">
        <w:rPr>
          <w:sz w:val="22"/>
          <w:szCs w:val="22"/>
        </w:rPr>
        <w:t xml:space="preserve">, with income levels and poverty rates </w:t>
      </w:r>
      <w:r w:rsidR="003E504C">
        <w:rPr>
          <w:sz w:val="22"/>
          <w:szCs w:val="22"/>
        </w:rPr>
        <w:t>below</w:t>
      </w:r>
      <w:r w:rsidRPr="00673CC2">
        <w:rPr>
          <w:sz w:val="22"/>
          <w:szCs w:val="22"/>
        </w:rPr>
        <w:t xml:space="preserve"> state and national averages. </w:t>
      </w:r>
    </w:p>
    <w:p w14:paraId="487B4AA4" w14:textId="77777777" w:rsidR="00673CC2" w:rsidRPr="00673CC2" w:rsidRDefault="00673CC2" w:rsidP="00673CC2">
      <w:pPr>
        <w:snapToGrid w:val="0"/>
        <w:rPr>
          <w:sz w:val="22"/>
          <w:szCs w:val="22"/>
        </w:rPr>
      </w:pPr>
    </w:p>
    <w:p w14:paraId="3CEB6153" w14:textId="4927E6AC" w:rsidR="00673CC2" w:rsidRDefault="00673CC2" w:rsidP="00673CC2">
      <w:pPr>
        <w:rPr>
          <w:rFonts w:cstheme="minorHAnsi"/>
          <w:sz w:val="22"/>
          <w:szCs w:val="22"/>
        </w:rPr>
      </w:pPr>
      <w:r w:rsidRPr="00673CC2">
        <w:rPr>
          <w:rFonts w:cstheme="minorHAnsi"/>
          <w:sz w:val="22"/>
          <w:szCs w:val="22"/>
        </w:rPr>
        <w:t>The projects involve a total investment of $24.5 million comprising $17.3 million in grant funding (</w:t>
      </w:r>
      <w:r w:rsidR="00D8535C">
        <w:rPr>
          <w:rFonts w:cstheme="minorHAnsi"/>
          <w:sz w:val="22"/>
          <w:szCs w:val="22"/>
        </w:rPr>
        <w:t>70.5</w:t>
      </w:r>
      <w:r w:rsidRPr="00673CC2">
        <w:rPr>
          <w:rFonts w:cstheme="minorHAnsi"/>
          <w:sz w:val="22"/>
          <w:szCs w:val="22"/>
        </w:rPr>
        <w:t xml:space="preserve">%), and leveraged by $7.2 million in matching contributions. Beneficiaries include Internet service providers that have a strong operational history in New Mexico – ranging from 17 to 61 years. Awardees include SWC Telesolutions (dba Ethos Broadband), Tularosa Communications, Western New Mexico Telephone Company, and </w:t>
      </w:r>
      <w:r w:rsidR="009E13D4" w:rsidRPr="00673CC2">
        <w:rPr>
          <w:rFonts w:ascii="Calibri" w:hAnsi="Calibri" w:cs="Calibri"/>
          <w:color w:val="212121"/>
          <w:sz w:val="22"/>
          <w:szCs w:val="22"/>
        </w:rPr>
        <w:t>Valley TeleCom Group</w:t>
      </w:r>
      <w:r w:rsidRPr="00673CC2">
        <w:rPr>
          <w:rFonts w:cstheme="minorHAnsi"/>
          <w:sz w:val="22"/>
          <w:szCs w:val="22"/>
        </w:rPr>
        <w:t xml:space="preserve">. </w:t>
      </w:r>
    </w:p>
    <w:p w14:paraId="1AC92928" w14:textId="323CA0C0" w:rsidR="007C004E" w:rsidRDefault="007C004E" w:rsidP="00673CC2">
      <w:pPr>
        <w:rPr>
          <w:rFonts w:cstheme="minorHAnsi"/>
          <w:sz w:val="22"/>
          <w:szCs w:val="22"/>
        </w:rPr>
      </w:pPr>
    </w:p>
    <w:p w14:paraId="5AEFA896" w14:textId="28F4432B" w:rsidR="007C004E" w:rsidRPr="00673CC2" w:rsidRDefault="007C004E" w:rsidP="00673CC2">
      <w:pPr>
        <w:rPr>
          <w:rFonts w:cstheme="minorHAnsi"/>
          <w:sz w:val="22"/>
          <w:szCs w:val="22"/>
        </w:rPr>
      </w:pPr>
      <w:r>
        <w:rPr>
          <w:sz w:val="22"/>
          <w:szCs w:val="22"/>
        </w:rPr>
        <w:t>“In my State of the State speech, I stressed my steadfast commitment to bring high-speed broadband networks to every unserved and underserved New Mexico community, no matter how rural. These projects showcase that commitment and our broader goal of universal broadband availability across all of New Mexico,” said Governor Lujan Grisham. “Together, we are breaking down the long-standing walls of the digital divide.”</w:t>
      </w:r>
    </w:p>
    <w:p w14:paraId="2D018EA3" w14:textId="77777777" w:rsidR="00673CC2" w:rsidRPr="00673CC2" w:rsidRDefault="00673CC2" w:rsidP="00673CC2">
      <w:pPr>
        <w:rPr>
          <w:rFonts w:cstheme="minorHAnsi"/>
          <w:sz w:val="22"/>
          <w:szCs w:val="22"/>
        </w:rPr>
      </w:pPr>
    </w:p>
    <w:p w14:paraId="6A414126" w14:textId="75FE758E" w:rsidR="00673CC2" w:rsidRPr="00673CC2" w:rsidRDefault="00673CC2" w:rsidP="00673CC2">
      <w:pPr>
        <w:rPr>
          <w:rFonts w:cstheme="minorHAnsi"/>
          <w:sz w:val="22"/>
          <w:szCs w:val="22"/>
        </w:rPr>
      </w:pPr>
      <w:r w:rsidRPr="00673CC2">
        <w:rPr>
          <w:rFonts w:cstheme="minorHAnsi"/>
          <w:sz w:val="22"/>
          <w:szCs w:val="22"/>
        </w:rPr>
        <w:t>Three of the projects involve fiber-to-the-premise (FTTP) networks. One involves a fixed wireless network that uses an emerging technology with special beam-forming signals that may provide a strong broadband connection despite the presence of an obstruction between the customer and the radio tower. These projects recognize OBAE’s commitment to prioritize fiber-based solutions</w:t>
      </w:r>
      <w:r w:rsidR="00D574D1">
        <w:rPr>
          <w:rFonts w:cstheme="minorHAnsi"/>
          <w:sz w:val="22"/>
          <w:szCs w:val="22"/>
        </w:rPr>
        <w:t xml:space="preserve"> while </w:t>
      </w:r>
      <w:r w:rsidR="00D574D1">
        <w:rPr>
          <w:rFonts w:cstheme="minorHAnsi"/>
          <w:sz w:val="22"/>
          <w:szCs w:val="22"/>
        </w:rPr>
        <w:lastRenderedPageBreak/>
        <w:t>recognizing the value of utilizing</w:t>
      </w:r>
      <w:r w:rsidRPr="00673CC2">
        <w:rPr>
          <w:rFonts w:cstheme="minorHAnsi"/>
          <w:sz w:val="22"/>
          <w:szCs w:val="22"/>
        </w:rPr>
        <w:t xml:space="preserve"> fixed wireless when economic or technical challenges make fiber infeasible.</w:t>
      </w:r>
    </w:p>
    <w:p w14:paraId="646D433E" w14:textId="77777777" w:rsidR="00673CC2" w:rsidRPr="00673CC2" w:rsidRDefault="00673CC2" w:rsidP="00673CC2">
      <w:pPr>
        <w:rPr>
          <w:rFonts w:cstheme="minorHAnsi"/>
          <w:sz w:val="22"/>
          <w:szCs w:val="22"/>
        </w:rPr>
      </w:pPr>
    </w:p>
    <w:p w14:paraId="4EB985B4" w14:textId="77777777" w:rsidR="00673CC2" w:rsidRPr="00673CC2" w:rsidRDefault="00673CC2" w:rsidP="00673CC2">
      <w:pPr>
        <w:rPr>
          <w:rFonts w:cstheme="minorHAnsi"/>
          <w:sz w:val="22"/>
          <w:szCs w:val="22"/>
        </w:rPr>
      </w:pPr>
      <w:r w:rsidRPr="00673CC2">
        <w:rPr>
          <w:rFonts w:cstheme="minorHAnsi"/>
          <w:sz w:val="22"/>
          <w:szCs w:val="22"/>
        </w:rPr>
        <w:t xml:space="preserve">Approximately 80% of the targeted premises are unserved, which means they are relegated to speeds below 25/3 Mbps. The other 20% are underserved, which means speeds range from 25/3 Mbps to 100/20 Mbps. A summary of the awards follow in the table below. </w:t>
      </w:r>
    </w:p>
    <w:p w14:paraId="3E4B1E9C" w14:textId="77777777" w:rsidR="00673CC2" w:rsidRPr="00673CC2" w:rsidRDefault="00673CC2" w:rsidP="00673CC2">
      <w:pPr>
        <w:snapToGrid w:val="0"/>
        <w:rPr>
          <w:sz w:val="22"/>
          <w:szCs w:val="22"/>
        </w:rPr>
      </w:pPr>
    </w:p>
    <w:tbl>
      <w:tblPr>
        <w:tblStyle w:val="TableGrid1"/>
        <w:tblW w:w="8635" w:type="dxa"/>
        <w:tblLook w:val="04A0" w:firstRow="1" w:lastRow="0" w:firstColumn="1" w:lastColumn="0" w:noHBand="0" w:noVBand="1"/>
      </w:tblPr>
      <w:tblGrid>
        <w:gridCol w:w="1856"/>
        <w:gridCol w:w="1783"/>
        <w:gridCol w:w="1587"/>
        <w:gridCol w:w="963"/>
        <w:gridCol w:w="977"/>
        <w:gridCol w:w="816"/>
        <w:gridCol w:w="653"/>
      </w:tblGrid>
      <w:tr w:rsidR="00673CC2" w:rsidRPr="00673CC2" w14:paraId="162C3680" w14:textId="77777777" w:rsidTr="00267252">
        <w:trPr>
          <w:trHeight w:val="152"/>
        </w:trPr>
        <w:tc>
          <w:tcPr>
            <w:tcW w:w="1877" w:type="dxa"/>
            <w:vMerge w:val="restart"/>
            <w:shd w:val="clear" w:color="auto" w:fill="D9E2F3" w:themeFill="accent1" w:themeFillTint="33"/>
          </w:tcPr>
          <w:p w14:paraId="62E226CE" w14:textId="77777777" w:rsidR="00673CC2" w:rsidRPr="00673CC2" w:rsidRDefault="00673CC2" w:rsidP="00673CC2">
            <w:pPr>
              <w:snapToGrid w:val="0"/>
              <w:rPr>
                <w:b/>
                <w:bCs/>
                <w:sz w:val="20"/>
                <w:szCs w:val="20"/>
              </w:rPr>
            </w:pPr>
            <w:r w:rsidRPr="00673CC2">
              <w:rPr>
                <w:b/>
                <w:bCs/>
                <w:sz w:val="20"/>
                <w:szCs w:val="20"/>
              </w:rPr>
              <w:t>Service Provider</w:t>
            </w:r>
          </w:p>
        </w:tc>
        <w:tc>
          <w:tcPr>
            <w:tcW w:w="1811" w:type="dxa"/>
            <w:vMerge w:val="restart"/>
            <w:shd w:val="clear" w:color="auto" w:fill="D9E2F3" w:themeFill="accent1" w:themeFillTint="33"/>
          </w:tcPr>
          <w:p w14:paraId="18F78867" w14:textId="77777777" w:rsidR="00673CC2" w:rsidRPr="00673CC2" w:rsidRDefault="00673CC2" w:rsidP="00673CC2">
            <w:pPr>
              <w:snapToGrid w:val="0"/>
              <w:rPr>
                <w:b/>
                <w:bCs/>
                <w:sz w:val="20"/>
                <w:szCs w:val="20"/>
              </w:rPr>
            </w:pPr>
            <w:r w:rsidRPr="00673CC2">
              <w:rPr>
                <w:b/>
                <w:bCs/>
                <w:sz w:val="20"/>
                <w:szCs w:val="20"/>
              </w:rPr>
              <w:t xml:space="preserve">Communities </w:t>
            </w:r>
          </w:p>
        </w:tc>
        <w:tc>
          <w:tcPr>
            <w:tcW w:w="1620" w:type="dxa"/>
            <w:vMerge w:val="restart"/>
            <w:shd w:val="clear" w:color="auto" w:fill="D9E2F3" w:themeFill="accent1" w:themeFillTint="33"/>
          </w:tcPr>
          <w:p w14:paraId="6B38898B" w14:textId="77777777" w:rsidR="00673CC2" w:rsidRPr="00673CC2" w:rsidRDefault="00673CC2" w:rsidP="00673CC2">
            <w:pPr>
              <w:snapToGrid w:val="0"/>
              <w:rPr>
                <w:b/>
                <w:bCs/>
                <w:sz w:val="20"/>
                <w:szCs w:val="20"/>
              </w:rPr>
            </w:pPr>
            <w:r w:rsidRPr="00673CC2">
              <w:rPr>
                <w:b/>
                <w:bCs/>
                <w:sz w:val="20"/>
                <w:szCs w:val="20"/>
              </w:rPr>
              <w:t xml:space="preserve">Technology </w:t>
            </w:r>
          </w:p>
        </w:tc>
        <w:tc>
          <w:tcPr>
            <w:tcW w:w="987" w:type="dxa"/>
            <w:vMerge w:val="restart"/>
            <w:shd w:val="clear" w:color="auto" w:fill="D9E2F3" w:themeFill="accent1" w:themeFillTint="33"/>
          </w:tcPr>
          <w:p w14:paraId="73018730" w14:textId="77777777" w:rsidR="00673CC2" w:rsidRPr="00673CC2" w:rsidRDefault="00673CC2" w:rsidP="00673CC2">
            <w:pPr>
              <w:snapToGrid w:val="0"/>
              <w:jc w:val="center"/>
              <w:rPr>
                <w:b/>
                <w:bCs/>
                <w:sz w:val="20"/>
                <w:szCs w:val="20"/>
              </w:rPr>
            </w:pPr>
            <w:r w:rsidRPr="00673CC2">
              <w:rPr>
                <w:b/>
                <w:bCs/>
                <w:sz w:val="20"/>
                <w:szCs w:val="20"/>
              </w:rPr>
              <w:t xml:space="preserve">Units </w:t>
            </w:r>
          </w:p>
        </w:tc>
        <w:tc>
          <w:tcPr>
            <w:tcW w:w="2340" w:type="dxa"/>
            <w:gridSpan w:val="3"/>
            <w:shd w:val="clear" w:color="auto" w:fill="D9E2F3" w:themeFill="accent1" w:themeFillTint="33"/>
            <w:vAlign w:val="center"/>
          </w:tcPr>
          <w:p w14:paraId="1CAC39A5" w14:textId="77777777" w:rsidR="00673CC2" w:rsidRPr="00673CC2" w:rsidRDefault="00673CC2" w:rsidP="00673CC2">
            <w:pPr>
              <w:snapToGrid w:val="0"/>
              <w:jc w:val="center"/>
              <w:rPr>
                <w:b/>
                <w:bCs/>
                <w:sz w:val="20"/>
                <w:szCs w:val="20"/>
              </w:rPr>
            </w:pPr>
            <w:r w:rsidRPr="00673CC2">
              <w:rPr>
                <w:b/>
                <w:bCs/>
                <w:sz w:val="20"/>
                <w:szCs w:val="20"/>
              </w:rPr>
              <w:t>Budget (Millions)</w:t>
            </w:r>
          </w:p>
        </w:tc>
      </w:tr>
      <w:tr w:rsidR="00673CC2" w:rsidRPr="00673CC2" w14:paraId="66D71751" w14:textId="77777777" w:rsidTr="00267252">
        <w:trPr>
          <w:trHeight w:val="151"/>
        </w:trPr>
        <w:tc>
          <w:tcPr>
            <w:tcW w:w="1877" w:type="dxa"/>
            <w:vMerge/>
            <w:shd w:val="clear" w:color="auto" w:fill="D9E2F3" w:themeFill="accent1" w:themeFillTint="33"/>
          </w:tcPr>
          <w:p w14:paraId="393391E2" w14:textId="77777777" w:rsidR="00673CC2" w:rsidRPr="00673CC2" w:rsidRDefault="00673CC2" w:rsidP="00673CC2">
            <w:pPr>
              <w:snapToGrid w:val="0"/>
              <w:rPr>
                <w:b/>
                <w:bCs/>
                <w:sz w:val="20"/>
                <w:szCs w:val="20"/>
              </w:rPr>
            </w:pPr>
          </w:p>
        </w:tc>
        <w:tc>
          <w:tcPr>
            <w:tcW w:w="1811" w:type="dxa"/>
            <w:vMerge/>
            <w:shd w:val="clear" w:color="auto" w:fill="D9E2F3" w:themeFill="accent1" w:themeFillTint="33"/>
          </w:tcPr>
          <w:p w14:paraId="0A706C96" w14:textId="77777777" w:rsidR="00673CC2" w:rsidRPr="00673CC2" w:rsidRDefault="00673CC2" w:rsidP="00673CC2">
            <w:pPr>
              <w:snapToGrid w:val="0"/>
              <w:rPr>
                <w:b/>
                <w:bCs/>
                <w:sz w:val="20"/>
                <w:szCs w:val="20"/>
              </w:rPr>
            </w:pPr>
          </w:p>
        </w:tc>
        <w:tc>
          <w:tcPr>
            <w:tcW w:w="1620" w:type="dxa"/>
            <w:vMerge/>
            <w:shd w:val="clear" w:color="auto" w:fill="D9E2F3" w:themeFill="accent1" w:themeFillTint="33"/>
          </w:tcPr>
          <w:p w14:paraId="16027609" w14:textId="77777777" w:rsidR="00673CC2" w:rsidRPr="00673CC2" w:rsidRDefault="00673CC2" w:rsidP="00673CC2">
            <w:pPr>
              <w:snapToGrid w:val="0"/>
              <w:rPr>
                <w:b/>
                <w:bCs/>
                <w:sz w:val="20"/>
                <w:szCs w:val="20"/>
              </w:rPr>
            </w:pPr>
          </w:p>
        </w:tc>
        <w:tc>
          <w:tcPr>
            <w:tcW w:w="987" w:type="dxa"/>
            <w:vMerge/>
            <w:shd w:val="clear" w:color="auto" w:fill="D9E2F3" w:themeFill="accent1" w:themeFillTint="33"/>
          </w:tcPr>
          <w:p w14:paraId="7776EBF1" w14:textId="77777777" w:rsidR="00673CC2" w:rsidRPr="00673CC2" w:rsidRDefault="00673CC2" w:rsidP="00673CC2">
            <w:pPr>
              <w:snapToGrid w:val="0"/>
              <w:rPr>
                <w:b/>
                <w:bCs/>
                <w:sz w:val="20"/>
                <w:szCs w:val="20"/>
              </w:rPr>
            </w:pPr>
          </w:p>
        </w:tc>
        <w:tc>
          <w:tcPr>
            <w:tcW w:w="990" w:type="dxa"/>
            <w:shd w:val="clear" w:color="auto" w:fill="D9E2F3" w:themeFill="accent1" w:themeFillTint="33"/>
          </w:tcPr>
          <w:p w14:paraId="284670FE" w14:textId="77777777" w:rsidR="00673CC2" w:rsidRPr="00673CC2" w:rsidRDefault="00673CC2" w:rsidP="00673CC2">
            <w:pPr>
              <w:snapToGrid w:val="0"/>
              <w:rPr>
                <w:b/>
                <w:bCs/>
                <w:sz w:val="20"/>
                <w:szCs w:val="20"/>
              </w:rPr>
            </w:pPr>
            <w:r w:rsidRPr="00673CC2">
              <w:rPr>
                <w:b/>
                <w:bCs/>
                <w:sz w:val="20"/>
                <w:szCs w:val="20"/>
              </w:rPr>
              <w:t xml:space="preserve">Grant  </w:t>
            </w:r>
          </w:p>
        </w:tc>
        <w:tc>
          <w:tcPr>
            <w:tcW w:w="810" w:type="dxa"/>
            <w:shd w:val="clear" w:color="auto" w:fill="D9E2F3" w:themeFill="accent1" w:themeFillTint="33"/>
          </w:tcPr>
          <w:p w14:paraId="31697E3E" w14:textId="77777777" w:rsidR="00673CC2" w:rsidRPr="00673CC2" w:rsidRDefault="00673CC2" w:rsidP="00673CC2">
            <w:pPr>
              <w:snapToGrid w:val="0"/>
              <w:rPr>
                <w:b/>
                <w:bCs/>
                <w:sz w:val="20"/>
                <w:szCs w:val="20"/>
              </w:rPr>
            </w:pPr>
            <w:r w:rsidRPr="00673CC2">
              <w:rPr>
                <w:b/>
                <w:bCs/>
                <w:sz w:val="20"/>
                <w:szCs w:val="20"/>
              </w:rPr>
              <w:t>Match</w:t>
            </w:r>
          </w:p>
        </w:tc>
        <w:tc>
          <w:tcPr>
            <w:tcW w:w="540" w:type="dxa"/>
            <w:shd w:val="clear" w:color="auto" w:fill="D9E2F3" w:themeFill="accent1" w:themeFillTint="33"/>
          </w:tcPr>
          <w:p w14:paraId="371CCC51" w14:textId="77777777" w:rsidR="00673CC2" w:rsidRPr="00673CC2" w:rsidRDefault="00673CC2" w:rsidP="00673CC2">
            <w:pPr>
              <w:snapToGrid w:val="0"/>
              <w:rPr>
                <w:b/>
                <w:bCs/>
                <w:sz w:val="20"/>
                <w:szCs w:val="20"/>
              </w:rPr>
            </w:pPr>
            <w:r w:rsidRPr="00673CC2">
              <w:rPr>
                <w:b/>
                <w:bCs/>
                <w:sz w:val="20"/>
                <w:szCs w:val="20"/>
              </w:rPr>
              <w:t>Total</w:t>
            </w:r>
          </w:p>
        </w:tc>
      </w:tr>
      <w:tr w:rsidR="00673CC2" w:rsidRPr="00673CC2" w14:paraId="59012991" w14:textId="77777777" w:rsidTr="009E13D4">
        <w:trPr>
          <w:trHeight w:val="411"/>
        </w:trPr>
        <w:tc>
          <w:tcPr>
            <w:tcW w:w="1877" w:type="dxa"/>
            <w:shd w:val="clear" w:color="auto" w:fill="F2F2F2" w:themeFill="background1" w:themeFillShade="F2"/>
            <w:vAlign w:val="center"/>
          </w:tcPr>
          <w:p w14:paraId="64A65ABC" w14:textId="77777777" w:rsidR="00673CC2" w:rsidRPr="00673CC2" w:rsidRDefault="00673CC2" w:rsidP="00673CC2">
            <w:pPr>
              <w:snapToGrid w:val="0"/>
              <w:rPr>
                <w:sz w:val="20"/>
                <w:szCs w:val="20"/>
              </w:rPr>
            </w:pPr>
            <w:r w:rsidRPr="00673CC2">
              <w:rPr>
                <w:sz w:val="20"/>
                <w:szCs w:val="20"/>
              </w:rPr>
              <w:t>SWC Telesolutions (dba Ethos Broadband)</w:t>
            </w:r>
          </w:p>
        </w:tc>
        <w:tc>
          <w:tcPr>
            <w:tcW w:w="1811" w:type="dxa"/>
            <w:vAlign w:val="center"/>
          </w:tcPr>
          <w:p w14:paraId="5CF3D61B" w14:textId="77777777" w:rsidR="00673CC2" w:rsidRPr="00673CC2" w:rsidRDefault="00673CC2" w:rsidP="00673CC2">
            <w:pPr>
              <w:numPr>
                <w:ilvl w:val="0"/>
                <w:numId w:val="2"/>
              </w:numPr>
              <w:snapToGrid w:val="0"/>
              <w:ind w:left="161" w:hanging="180"/>
              <w:rPr>
                <w:sz w:val="20"/>
                <w:szCs w:val="20"/>
              </w:rPr>
            </w:pPr>
            <w:r w:rsidRPr="00673CC2">
              <w:rPr>
                <w:rFonts w:cstheme="minorHAnsi"/>
                <w:color w:val="000000" w:themeColor="text1"/>
                <w:sz w:val="20"/>
                <w:szCs w:val="20"/>
              </w:rPr>
              <w:t>West Gallup, Thoreau</w:t>
            </w:r>
          </w:p>
        </w:tc>
        <w:tc>
          <w:tcPr>
            <w:tcW w:w="1620" w:type="dxa"/>
            <w:vAlign w:val="center"/>
          </w:tcPr>
          <w:p w14:paraId="1169B4A9" w14:textId="77777777" w:rsidR="00673CC2" w:rsidRPr="00673CC2" w:rsidRDefault="00673CC2" w:rsidP="00673CC2">
            <w:pPr>
              <w:numPr>
                <w:ilvl w:val="0"/>
                <w:numId w:val="2"/>
              </w:numPr>
              <w:snapToGrid w:val="0"/>
              <w:ind w:left="161" w:hanging="180"/>
              <w:rPr>
                <w:sz w:val="20"/>
                <w:szCs w:val="20"/>
              </w:rPr>
            </w:pPr>
            <w:r w:rsidRPr="00673CC2">
              <w:rPr>
                <w:sz w:val="20"/>
                <w:szCs w:val="20"/>
              </w:rPr>
              <w:t>Fixed Wireless</w:t>
            </w:r>
          </w:p>
        </w:tc>
        <w:tc>
          <w:tcPr>
            <w:tcW w:w="987" w:type="dxa"/>
            <w:vAlign w:val="center"/>
          </w:tcPr>
          <w:p w14:paraId="1F446B9F" w14:textId="777C9BB6" w:rsidR="00673CC2" w:rsidRPr="00673CC2" w:rsidRDefault="009E13D4" w:rsidP="009E13D4">
            <w:pPr>
              <w:snapToGrid w:val="0"/>
              <w:ind w:left="-19"/>
              <w:jc w:val="center"/>
              <w:rPr>
                <w:sz w:val="20"/>
                <w:szCs w:val="20"/>
              </w:rPr>
            </w:pPr>
            <w:r>
              <w:rPr>
                <w:sz w:val="20"/>
                <w:szCs w:val="20"/>
              </w:rPr>
              <w:t>435</w:t>
            </w:r>
          </w:p>
        </w:tc>
        <w:tc>
          <w:tcPr>
            <w:tcW w:w="990" w:type="dxa"/>
            <w:vAlign w:val="center"/>
          </w:tcPr>
          <w:p w14:paraId="1EE17D65" w14:textId="77777777" w:rsidR="00673CC2" w:rsidRPr="00673CC2" w:rsidRDefault="00673CC2" w:rsidP="00673CC2">
            <w:pPr>
              <w:snapToGrid w:val="0"/>
              <w:ind w:left="-19"/>
              <w:rPr>
                <w:sz w:val="20"/>
                <w:szCs w:val="20"/>
              </w:rPr>
            </w:pPr>
            <w:r w:rsidRPr="00673CC2">
              <w:rPr>
                <w:sz w:val="20"/>
                <w:szCs w:val="20"/>
              </w:rPr>
              <w:t>$1.04</w:t>
            </w:r>
          </w:p>
          <w:p w14:paraId="4B943BDF" w14:textId="77777777" w:rsidR="00673CC2" w:rsidRPr="00673CC2" w:rsidRDefault="00673CC2" w:rsidP="00673CC2">
            <w:pPr>
              <w:snapToGrid w:val="0"/>
              <w:ind w:left="-19"/>
              <w:rPr>
                <w:sz w:val="20"/>
                <w:szCs w:val="20"/>
              </w:rPr>
            </w:pPr>
            <w:r w:rsidRPr="00673CC2">
              <w:rPr>
                <w:sz w:val="20"/>
                <w:szCs w:val="20"/>
              </w:rPr>
              <w:t>(49.6%)</w:t>
            </w:r>
          </w:p>
        </w:tc>
        <w:tc>
          <w:tcPr>
            <w:tcW w:w="810" w:type="dxa"/>
            <w:vAlign w:val="center"/>
          </w:tcPr>
          <w:p w14:paraId="10C9ABFD" w14:textId="77777777" w:rsidR="00673CC2" w:rsidRPr="00673CC2" w:rsidRDefault="00673CC2" w:rsidP="00673CC2">
            <w:pPr>
              <w:snapToGrid w:val="0"/>
              <w:ind w:left="-19"/>
              <w:rPr>
                <w:sz w:val="20"/>
                <w:szCs w:val="20"/>
              </w:rPr>
            </w:pPr>
            <w:r w:rsidRPr="00673CC2">
              <w:rPr>
                <w:sz w:val="20"/>
                <w:szCs w:val="20"/>
              </w:rPr>
              <w:t>$1.05</w:t>
            </w:r>
          </w:p>
          <w:p w14:paraId="23D7B173" w14:textId="77777777" w:rsidR="00673CC2" w:rsidRPr="00673CC2" w:rsidRDefault="00673CC2" w:rsidP="00673CC2">
            <w:pPr>
              <w:snapToGrid w:val="0"/>
              <w:ind w:left="-19"/>
              <w:rPr>
                <w:sz w:val="20"/>
                <w:szCs w:val="20"/>
              </w:rPr>
            </w:pPr>
            <w:r w:rsidRPr="00673CC2">
              <w:rPr>
                <w:sz w:val="20"/>
                <w:szCs w:val="20"/>
              </w:rPr>
              <w:t>(50.4%)</w:t>
            </w:r>
          </w:p>
        </w:tc>
        <w:tc>
          <w:tcPr>
            <w:tcW w:w="540" w:type="dxa"/>
            <w:vAlign w:val="center"/>
          </w:tcPr>
          <w:p w14:paraId="24BF4685" w14:textId="04314499" w:rsidR="00673CC2" w:rsidRPr="00673CC2" w:rsidRDefault="00673CC2" w:rsidP="00673CC2">
            <w:pPr>
              <w:snapToGrid w:val="0"/>
              <w:ind w:left="-19"/>
              <w:rPr>
                <w:sz w:val="20"/>
                <w:szCs w:val="20"/>
              </w:rPr>
            </w:pPr>
            <w:r w:rsidRPr="00673CC2">
              <w:rPr>
                <w:sz w:val="20"/>
                <w:szCs w:val="20"/>
              </w:rPr>
              <w:t>$2.1</w:t>
            </w:r>
            <w:r w:rsidR="00F67767">
              <w:rPr>
                <w:sz w:val="20"/>
                <w:szCs w:val="20"/>
              </w:rPr>
              <w:t>0</w:t>
            </w:r>
          </w:p>
        </w:tc>
      </w:tr>
      <w:tr w:rsidR="00673CC2" w:rsidRPr="00673CC2" w14:paraId="0A981037" w14:textId="77777777" w:rsidTr="009E13D4">
        <w:trPr>
          <w:trHeight w:val="60"/>
        </w:trPr>
        <w:tc>
          <w:tcPr>
            <w:tcW w:w="1877" w:type="dxa"/>
            <w:shd w:val="clear" w:color="auto" w:fill="F2F2F2" w:themeFill="background1" w:themeFillShade="F2"/>
            <w:vAlign w:val="center"/>
          </w:tcPr>
          <w:p w14:paraId="1CA483EF" w14:textId="77777777" w:rsidR="00673CC2" w:rsidRPr="00673CC2" w:rsidRDefault="00673CC2" w:rsidP="00673CC2">
            <w:pPr>
              <w:snapToGrid w:val="0"/>
              <w:rPr>
                <w:sz w:val="20"/>
                <w:szCs w:val="20"/>
              </w:rPr>
            </w:pPr>
            <w:r w:rsidRPr="00673CC2">
              <w:rPr>
                <w:sz w:val="20"/>
                <w:szCs w:val="20"/>
              </w:rPr>
              <w:t>Tularosa Communications</w:t>
            </w:r>
          </w:p>
        </w:tc>
        <w:tc>
          <w:tcPr>
            <w:tcW w:w="1811" w:type="dxa"/>
            <w:vAlign w:val="center"/>
          </w:tcPr>
          <w:p w14:paraId="6E661CA5" w14:textId="77777777" w:rsidR="00673CC2" w:rsidRPr="00673CC2" w:rsidRDefault="00673CC2" w:rsidP="00673CC2">
            <w:pPr>
              <w:numPr>
                <w:ilvl w:val="0"/>
                <w:numId w:val="2"/>
              </w:numPr>
              <w:snapToGrid w:val="0"/>
              <w:ind w:left="161" w:hanging="180"/>
              <w:rPr>
                <w:sz w:val="20"/>
                <w:szCs w:val="20"/>
              </w:rPr>
            </w:pPr>
            <w:r w:rsidRPr="00673CC2">
              <w:rPr>
                <w:rFonts w:cstheme="minorHAnsi"/>
                <w:color w:val="000000" w:themeColor="text1"/>
                <w:sz w:val="20"/>
                <w:szCs w:val="20"/>
              </w:rPr>
              <w:t>West Alamogordo, Bent, Sun Valley</w:t>
            </w:r>
          </w:p>
        </w:tc>
        <w:tc>
          <w:tcPr>
            <w:tcW w:w="1620" w:type="dxa"/>
            <w:vAlign w:val="center"/>
          </w:tcPr>
          <w:p w14:paraId="5E65E851" w14:textId="77777777" w:rsidR="00673CC2" w:rsidRPr="00673CC2" w:rsidRDefault="00673CC2" w:rsidP="00673CC2">
            <w:pPr>
              <w:numPr>
                <w:ilvl w:val="0"/>
                <w:numId w:val="2"/>
              </w:numPr>
              <w:snapToGrid w:val="0"/>
              <w:ind w:left="161" w:hanging="180"/>
              <w:rPr>
                <w:sz w:val="20"/>
                <w:szCs w:val="20"/>
              </w:rPr>
            </w:pPr>
            <w:r w:rsidRPr="00673CC2">
              <w:rPr>
                <w:sz w:val="20"/>
                <w:szCs w:val="20"/>
              </w:rPr>
              <w:t xml:space="preserve">FTTP </w:t>
            </w:r>
          </w:p>
        </w:tc>
        <w:tc>
          <w:tcPr>
            <w:tcW w:w="987" w:type="dxa"/>
            <w:vAlign w:val="center"/>
          </w:tcPr>
          <w:p w14:paraId="068E475E" w14:textId="5DF0C2B9" w:rsidR="00673CC2" w:rsidRPr="00673CC2" w:rsidRDefault="009E13D4" w:rsidP="009E13D4">
            <w:pPr>
              <w:snapToGrid w:val="0"/>
              <w:ind w:left="-19"/>
              <w:jc w:val="center"/>
              <w:rPr>
                <w:sz w:val="20"/>
                <w:szCs w:val="20"/>
              </w:rPr>
            </w:pPr>
            <w:r>
              <w:rPr>
                <w:sz w:val="20"/>
                <w:szCs w:val="20"/>
              </w:rPr>
              <w:t>1048</w:t>
            </w:r>
          </w:p>
        </w:tc>
        <w:tc>
          <w:tcPr>
            <w:tcW w:w="990" w:type="dxa"/>
            <w:vAlign w:val="center"/>
          </w:tcPr>
          <w:p w14:paraId="1B548FC2" w14:textId="07C3FC97" w:rsidR="00673CC2" w:rsidRPr="00673CC2" w:rsidRDefault="00673CC2" w:rsidP="00673CC2">
            <w:pPr>
              <w:snapToGrid w:val="0"/>
              <w:ind w:left="-19"/>
              <w:rPr>
                <w:sz w:val="20"/>
                <w:szCs w:val="20"/>
              </w:rPr>
            </w:pPr>
            <w:r w:rsidRPr="00673CC2">
              <w:rPr>
                <w:sz w:val="20"/>
                <w:szCs w:val="20"/>
              </w:rPr>
              <w:t>$7.</w:t>
            </w:r>
            <w:r w:rsidR="00F67767">
              <w:rPr>
                <w:sz w:val="20"/>
                <w:szCs w:val="20"/>
              </w:rPr>
              <w:t>44</w:t>
            </w:r>
          </w:p>
          <w:p w14:paraId="161BB835" w14:textId="77777777" w:rsidR="00673CC2" w:rsidRPr="00673CC2" w:rsidRDefault="00673CC2" w:rsidP="00673CC2">
            <w:pPr>
              <w:snapToGrid w:val="0"/>
              <w:ind w:left="-19"/>
              <w:rPr>
                <w:sz w:val="20"/>
                <w:szCs w:val="20"/>
              </w:rPr>
            </w:pPr>
            <w:r w:rsidRPr="00673CC2">
              <w:rPr>
                <w:sz w:val="20"/>
                <w:szCs w:val="20"/>
              </w:rPr>
              <w:t>(75%</w:t>
            </w:r>
          </w:p>
        </w:tc>
        <w:tc>
          <w:tcPr>
            <w:tcW w:w="810" w:type="dxa"/>
            <w:vAlign w:val="center"/>
          </w:tcPr>
          <w:p w14:paraId="40767B9B" w14:textId="77777777" w:rsidR="00673CC2" w:rsidRPr="00673CC2" w:rsidRDefault="00673CC2" w:rsidP="00673CC2">
            <w:pPr>
              <w:snapToGrid w:val="0"/>
              <w:ind w:left="-19"/>
              <w:rPr>
                <w:sz w:val="20"/>
                <w:szCs w:val="20"/>
              </w:rPr>
            </w:pPr>
            <w:r w:rsidRPr="00673CC2">
              <w:rPr>
                <w:sz w:val="20"/>
                <w:szCs w:val="20"/>
              </w:rPr>
              <w:t>$2.48</w:t>
            </w:r>
          </w:p>
          <w:p w14:paraId="1C70C58C" w14:textId="77777777" w:rsidR="00673CC2" w:rsidRPr="00673CC2" w:rsidRDefault="00673CC2" w:rsidP="00673CC2">
            <w:pPr>
              <w:snapToGrid w:val="0"/>
              <w:ind w:left="-19"/>
              <w:rPr>
                <w:sz w:val="20"/>
                <w:szCs w:val="20"/>
              </w:rPr>
            </w:pPr>
            <w:r w:rsidRPr="00673CC2">
              <w:rPr>
                <w:sz w:val="20"/>
                <w:szCs w:val="20"/>
              </w:rPr>
              <w:t>(25%)</w:t>
            </w:r>
          </w:p>
        </w:tc>
        <w:tc>
          <w:tcPr>
            <w:tcW w:w="540" w:type="dxa"/>
            <w:vAlign w:val="center"/>
          </w:tcPr>
          <w:p w14:paraId="2D575657" w14:textId="076E0F5E" w:rsidR="00673CC2" w:rsidRPr="00673CC2" w:rsidRDefault="00673CC2" w:rsidP="00673CC2">
            <w:pPr>
              <w:snapToGrid w:val="0"/>
              <w:ind w:left="-19"/>
              <w:rPr>
                <w:sz w:val="20"/>
                <w:szCs w:val="20"/>
              </w:rPr>
            </w:pPr>
            <w:r w:rsidRPr="00673CC2">
              <w:rPr>
                <w:sz w:val="20"/>
                <w:szCs w:val="20"/>
              </w:rPr>
              <w:t>$9.</w:t>
            </w:r>
            <w:r w:rsidR="00F67767">
              <w:rPr>
                <w:sz w:val="20"/>
                <w:szCs w:val="20"/>
              </w:rPr>
              <w:t>93</w:t>
            </w:r>
          </w:p>
        </w:tc>
      </w:tr>
      <w:tr w:rsidR="00673CC2" w:rsidRPr="00673CC2" w14:paraId="1AE3151E" w14:textId="77777777" w:rsidTr="009E13D4">
        <w:trPr>
          <w:trHeight w:val="799"/>
        </w:trPr>
        <w:tc>
          <w:tcPr>
            <w:tcW w:w="1877" w:type="dxa"/>
            <w:shd w:val="clear" w:color="auto" w:fill="F2F2F2" w:themeFill="background1" w:themeFillShade="F2"/>
            <w:vAlign w:val="center"/>
          </w:tcPr>
          <w:p w14:paraId="06B2C1D6" w14:textId="77777777" w:rsidR="00673CC2" w:rsidRPr="00673CC2" w:rsidRDefault="00673CC2" w:rsidP="00673CC2">
            <w:pPr>
              <w:snapToGrid w:val="0"/>
              <w:rPr>
                <w:sz w:val="20"/>
                <w:szCs w:val="20"/>
              </w:rPr>
            </w:pPr>
            <w:r w:rsidRPr="00673CC2">
              <w:rPr>
                <w:sz w:val="20"/>
                <w:szCs w:val="20"/>
              </w:rPr>
              <w:t>Western New Mexico Telephone Company</w:t>
            </w:r>
          </w:p>
        </w:tc>
        <w:tc>
          <w:tcPr>
            <w:tcW w:w="1811" w:type="dxa"/>
            <w:vAlign w:val="center"/>
          </w:tcPr>
          <w:p w14:paraId="12C2D688" w14:textId="77777777" w:rsidR="00673CC2" w:rsidRPr="00673CC2" w:rsidRDefault="00673CC2" w:rsidP="00673CC2">
            <w:pPr>
              <w:numPr>
                <w:ilvl w:val="0"/>
                <w:numId w:val="2"/>
              </w:numPr>
              <w:snapToGrid w:val="0"/>
              <w:ind w:left="161" w:hanging="180"/>
              <w:rPr>
                <w:sz w:val="20"/>
                <w:szCs w:val="20"/>
              </w:rPr>
            </w:pPr>
            <w:r w:rsidRPr="00673CC2">
              <w:rPr>
                <w:rFonts w:cstheme="minorHAnsi"/>
                <w:color w:val="000000" w:themeColor="text1"/>
                <w:sz w:val="20"/>
                <w:szCs w:val="20"/>
              </w:rPr>
              <w:t>Gila Hot Springs, Silver City, Mimbres, Lake Roberts</w:t>
            </w:r>
          </w:p>
        </w:tc>
        <w:tc>
          <w:tcPr>
            <w:tcW w:w="1620" w:type="dxa"/>
            <w:vAlign w:val="center"/>
          </w:tcPr>
          <w:p w14:paraId="57ACE430" w14:textId="77777777" w:rsidR="00673CC2" w:rsidRPr="00673CC2" w:rsidRDefault="00673CC2" w:rsidP="00673CC2">
            <w:pPr>
              <w:numPr>
                <w:ilvl w:val="0"/>
                <w:numId w:val="2"/>
              </w:numPr>
              <w:snapToGrid w:val="0"/>
              <w:ind w:left="173" w:hanging="187"/>
              <w:rPr>
                <w:sz w:val="20"/>
                <w:szCs w:val="20"/>
              </w:rPr>
            </w:pPr>
            <w:r w:rsidRPr="00673CC2">
              <w:rPr>
                <w:sz w:val="20"/>
                <w:szCs w:val="20"/>
              </w:rPr>
              <w:t xml:space="preserve">FTTP with  Ethernet Radio Backhaul </w:t>
            </w:r>
          </w:p>
        </w:tc>
        <w:tc>
          <w:tcPr>
            <w:tcW w:w="987" w:type="dxa"/>
            <w:vAlign w:val="center"/>
          </w:tcPr>
          <w:p w14:paraId="1EBAFBE7" w14:textId="64701A32" w:rsidR="00673CC2" w:rsidRPr="00673CC2" w:rsidRDefault="009E13D4" w:rsidP="009E13D4">
            <w:pPr>
              <w:snapToGrid w:val="0"/>
              <w:ind w:left="-19"/>
              <w:jc w:val="center"/>
              <w:rPr>
                <w:sz w:val="20"/>
                <w:szCs w:val="20"/>
              </w:rPr>
            </w:pPr>
            <w:r>
              <w:rPr>
                <w:sz w:val="20"/>
                <w:szCs w:val="20"/>
              </w:rPr>
              <w:t>221</w:t>
            </w:r>
          </w:p>
        </w:tc>
        <w:tc>
          <w:tcPr>
            <w:tcW w:w="990" w:type="dxa"/>
            <w:vAlign w:val="center"/>
          </w:tcPr>
          <w:p w14:paraId="065E8711" w14:textId="77777777" w:rsidR="00673CC2" w:rsidRPr="00673CC2" w:rsidRDefault="00673CC2" w:rsidP="00673CC2">
            <w:pPr>
              <w:snapToGrid w:val="0"/>
              <w:ind w:left="-19"/>
              <w:rPr>
                <w:sz w:val="20"/>
                <w:szCs w:val="20"/>
              </w:rPr>
            </w:pPr>
            <w:r w:rsidRPr="00673CC2">
              <w:rPr>
                <w:sz w:val="20"/>
                <w:szCs w:val="20"/>
              </w:rPr>
              <w:t>$5.11</w:t>
            </w:r>
          </w:p>
          <w:p w14:paraId="737048DA" w14:textId="77777777" w:rsidR="00673CC2" w:rsidRPr="00673CC2" w:rsidRDefault="00673CC2" w:rsidP="00673CC2">
            <w:pPr>
              <w:snapToGrid w:val="0"/>
              <w:ind w:left="-19"/>
              <w:rPr>
                <w:sz w:val="20"/>
                <w:szCs w:val="20"/>
              </w:rPr>
            </w:pPr>
            <w:r w:rsidRPr="00673CC2">
              <w:rPr>
                <w:sz w:val="20"/>
                <w:szCs w:val="20"/>
              </w:rPr>
              <w:t>(75%)</w:t>
            </w:r>
          </w:p>
        </w:tc>
        <w:tc>
          <w:tcPr>
            <w:tcW w:w="810" w:type="dxa"/>
            <w:vAlign w:val="center"/>
          </w:tcPr>
          <w:p w14:paraId="35A7BD72" w14:textId="77777777" w:rsidR="00673CC2" w:rsidRPr="00673CC2" w:rsidRDefault="00673CC2" w:rsidP="00673CC2">
            <w:pPr>
              <w:snapToGrid w:val="0"/>
              <w:ind w:left="-19"/>
              <w:rPr>
                <w:sz w:val="20"/>
                <w:szCs w:val="20"/>
              </w:rPr>
            </w:pPr>
            <w:r w:rsidRPr="00673CC2">
              <w:rPr>
                <w:sz w:val="20"/>
                <w:szCs w:val="20"/>
              </w:rPr>
              <w:t>$1.70</w:t>
            </w:r>
          </w:p>
          <w:p w14:paraId="7F1B87C4" w14:textId="77777777" w:rsidR="00673CC2" w:rsidRPr="00673CC2" w:rsidRDefault="00673CC2" w:rsidP="00673CC2">
            <w:pPr>
              <w:snapToGrid w:val="0"/>
              <w:ind w:left="-19"/>
              <w:rPr>
                <w:sz w:val="20"/>
                <w:szCs w:val="20"/>
              </w:rPr>
            </w:pPr>
            <w:r w:rsidRPr="00673CC2">
              <w:rPr>
                <w:sz w:val="20"/>
                <w:szCs w:val="20"/>
              </w:rPr>
              <w:t>(25%)</w:t>
            </w:r>
          </w:p>
        </w:tc>
        <w:tc>
          <w:tcPr>
            <w:tcW w:w="540" w:type="dxa"/>
            <w:vAlign w:val="center"/>
          </w:tcPr>
          <w:p w14:paraId="5E3463BC" w14:textId="77777777" w:rsidR="00673CC2" w:rsidRPr="00673CC2" w:rsidRDefault="00673CC2" w:rsidP="00673CC2">
            <w:pPr>
              <w:snapToGrid w:val="0"/>
              <w:ind w:left="-19"/>
              <w:rPr>
                <w:sz w:val="20"/>
                <w:szCs w:val="20"/>
              </w:rPr>
            </w:pPr>
            <w:r w:rsidRPr="00673CC2">
              <w:rPr>
                <w:sz w:val="20"/>
                <w:szCs w:val="20"/>
              </w:rPr>
              <w:t>$6.81</w:t>
            </w:r>
          </w:p>
        </w:tc>
      </w:tr>
      <w:tr w:rsidR="00673CC2" w:rsidRPr="00673CC2" w14:paraId="2BFC9929" w14:textId="77777777" w:rsidTr="009E13D4">
        <w:trPr>
          <w:trHeight w:val="386"/>
        </w:trPr>
        <w:tc>
          <w:tcPr>
            <w:tcW w:w="1877" w:type="dxa"/>
            <w:shd w:val="clear" w:color="auto" w:fill="F2F2F2" w:themeFill="background1" w:themeFillShade="F2"/>
            <w:vAlign w:val="center"/>
          </w:tcPr>
          <w:p w14:paraId="14ADD001" w14:textId="11DC3961" w:rsidR="00673CC2" w:rsidRPr="00673CC2" w:rsidRDefault="009E13D4" w:rsidP="00673CC2">
            <w:pPr>
              <w:snapToGrid w:val="0"/>
              <w:rPr>
                <w:sz w:val="20"/>
                <w:szCs w:val="20"/>
              </w:rPr>
            </w:pPr>
            <w:r w:rsidRPr="009E13D4">
              <w:rPr>
                <w:sz w:val="20"/>
                <w:szCs w:val="20"/>
              </w:rPr>
              <w:t>Valley TeleCom Group</w:t>
            </w:r>
          </w:p>
        </w:tc>
        <w:tc>
          <w:tcPr>
            <w:tcW w:w="1811" w:type="dxa"/>
            <w:vAlign w:val="center"/>
          </w:tcPr>
          <w:p w14:paraId="6B11815D" w14:textId="77777777" w:rsidR="00673CC2" w:rsidRPr="00673CC2" w:rsidRDefault="00673CC2" w:rsidP="00673CC2">
            <w:pPr>
              <w:numPr>
                <w:ilvl w:val="0"/>
                <w:numId w:val="2"/>
              </w:numPr>
              <w:snapToGrid w:val="0"/>
              <w:ind w:left="161" w:hanging="180"/>
              <w:rPr>
                <w:sz w:val="20"/>
                <w:szCs w:val="20"/>
              </w:rPr>
            </w:pPr>
            <w:r w:rsidRPr="00673CC2">
              <w:rPr>
                <w:rFonts w:cstheme="minorHAnsi"/>
                <w:color w:val="000000" w:themeColor="text1"/>
                <w:sz w:val="20"/>
                <w:szCs w:val="20"/>
              </w:rPr>
              <w:t>Columbus</w:t>
            </w:r>
          </w:p>
        </w:tc>
        <w:tc>
          <w:tcPr>
            <w:tcW w:w="1620" w:type="dxa"/>
            <w:vAlign w:val="center"/>
          </w:tcPr>
          <w:p w14:paraId="199CC62C" w14:textId="77777777" w:rsidR="00673CC2" w:rsidRPr="00673CC2" w:rsidRDefault="00673CC2" w:rsidP="00673CC2">
            <w:pPr>
              <w:numPr>
                <w:ilvl w:val="0"/>
                <w:numId w:val="2"/>
              </w:numPr>
              <w:snapToGrid w:val="0"/>
              <w:ind w:left="161" w:hanging="180"/>
              <w:rPr>
                <w:sz w:val="20"/>
                <w:szCs w:val="20"/>
              </w:rPr>
            </w:pPr>
            <w:r w:rsidRPr="00673CC2">
              <w:rPr>
                <w:sz w:val="20"/>
                <w:szCs w:val="20"/>
              </w:rPr>
              <w:t>FTTP</w:t>
            </w:r>
          </w:p>
        </w:tc>
        <w:tc>
          <w:tcPr>
            <w:tcW w:w="987" w:type="dxa"/>
            <w:vAlign w:val="center"/>
          </w:tcPr>
          <w:p w14:paraId="2E6B435A" w14:textId="436C0243" w:rsidR="00673CC2" w:rsidRPr="00673CC2" w:rsidRDefault="009E13D4" w:rsidP="009E13D4">
            <w:pPr>
              <w:snapToGrid w:val="0"/>
              <w:ind w:left="-19"/>
              <w:jc w:val="center"/>
              <w:rPr>
                <w:sz w:val="20"/>
                <w:szCs w:val="20"/>
              </w:rPr>
            </w:pPr>
            <w:r>
              <w:rPr>
                <w:sz w:val="20"/>
                <w:szCs w:val="20"/>
              </w:rPr>
              <w:t>822</w:t>
            </w:r>
          </w:p>
        </w:tc>
        <w:tc>
          <w:tcPr>
            <w:tcW w:w="990" w:type="dxa"/>
            <w:vAlign w:val="center"/>
          </w:tcPr>
          <w:p w14:paraId="6403A477" w14:textId="5D7876AC" w:rsidR="00673CC2" w:rsidRPr="00673CC2" w:rsidRDefault="00673CC2" w:rsidP="00673CC2">
            <w:pPr>
              <w:snapToGrid w:val="0"/>
              <w:ind w:left="-19"/>
              <w:rPr>
                <w:sz w:val="20"/>
                <w:szCs w:val="20"/>
              </w:rPr>
            </w:pPr>
            <w:r w:rsidRPr="00673CC2">
              <w:rPr>
                <w:sz w:val="20"/>
                <w:szCs w:val="20"/>
              </w:rPr>
              <w:t>$3.7</w:t>
            </w:r>
            <w:r w:rsidR="00E310C9">
              <w:rPr>
                <w:sz w:val="20"/>
                <w:szCs w:val="20"/>
              </w:rPr>
              <w:t>0</w:t>
            </w:r>
          </w:p>
          <w:p w14:paraId="7AC96216" w14:textId="77777777" w:rsidR="00673CC2" w:rsidRPr="00673CC2" w:rsidRDefault="00673CC2" w:rsidP="00673CC2">
            <w:pPr>
              <w:snapToGrid w:val="0"/>
              <w:ind w:left="-19"/>
              <w:rPr>
                <w:sz w:val="20"/>
                <w:szCs w:val="20"/>
              </w:rPr>
            </w:pPr>
            <w:r w:rsidRPr="00673CC2">
              <w:rPr>
                <w:sz w:val="20"/>
                <w:szCs w:val="20"/>
              </w:rPr>
              <w:t>(65%)</w:t>
            </w:r>
          </w:p>
        </w:tc>
        <w:tc>
          <w:tcPr>
            <w:tcW w:w="810" w:type="dxa"/>
            <w:vAlign w:val="center"/>
          </w:tcPr>
          <w:p w14:paraId="1AC4E5AC" w14:textId="1DF119B2" w:rsidR="00673CC2" w:rsidRPr="00673CC2" w:rsidRDefault="00673CC2" w:rsidP="00673CC2">
            <w:pPr>
              <w:snapToGrid w:val="0"/>
              <w:ind w:left="-19"/>
              <w:rPr>
                <w:sz w:val="20"/>
                <w:szCs w:val="20"/>
              </w:rPr>
            </w:pPr>
            <w:r w:rsidRPr="00673CC2">
              <w:rPr>
                <w:sz w:val="20"/>
                <w:szCs w:val="20"/>
              </w:rPr>
              <w:t>$1.99</w:t>
            </w:r>
          </w:p>
          <w:p w14:paraId="0EABBEBF" w14:textId="77777777" w:rsidR="00673CC2" w:rsidRPr="00673CC2" w:rsidRDefault="00673CC2" w:rsidP="00673CC2">
            <w:pPr>
              <w:snapToGrid w:val="0"/>
              <w:ind w:left="-19"/>
              <w:rPr>
                <w:sz w:val="20"/>
                <w:szCs w:val="20"/>
              </w:rPr>
            </w:pPr>
            <w:r w:rsidRPr="00673CC2">
              <w:rPr>
                <w:sz w:val="20"/>
                <w:szCs w:val="20"/>
              </w:rPr>
              <w:t>(35%)</w:t>
            </w:r>
          </w:p>
        </w:tc>
        <w:tc>
          <w:tcPr>
            <w:tcW w:w="540" w:type="dxa"/>
            <w:vAlign w:val="center"/>
          </w:tcPr>
          <w:p w14:paraId="6DC14EE5" w14:textId="1168C9B9" w:rsidR="00673CC2" w:rsidRPr="00673CC2" w:rsidRDefault="00673CC2" w:rsidP="00673CC2">
            <w:pPr>
              <w:snapToGrid w:val="0"/>
              <w:ind w:left="-19"/>
              <w:rPr>
                <w:sz w:val="20"/>
                <w:szCs w:val="20"/>
              </w:rPr>
            </w:pPr>
            <w:r w:rsidRPr="00673CC2">
              <w:rPr>
                <w:sz w:val="20"/>
                <w:szCs w:val="20"/>
              </w:rPr>
              <w:t>$5.6</w:t>
            </w:r>
            <w:r w:rsidR="00E310C9">
              <w:rPr>
                <w:sz w:val="20"/>
                <w:szCs w:val="20"/>
              </w:rPr>
              <w:t>9</w:t>
            </w:r>
          </w:p>
        </w:tc>
      </w:tr>
    </w:tbl>
    <w:p w14:paraId="148C7803" w14:textId="77777777" w:rsidR="00673CC2" w:rsidRPr="00673CC2" w:rsidRDefault="00673CC2" w:rsidP="00673CC2">
      <w:pPr>
        <w:snapToGrid w:val="0"/>
        <w:rPr>
          <w:rFonts w:cstheme="minorHAnsi"/>
          <w:color w:val="000000" w:themeColor="text1"/>
          <w:sz w:val="22"/>
          <w:szCs w:val="22"/>
        </w:rPr>
      </w:pPr>
      <w:r w:rsidRPr="00673CC2">
        <w:rPr>
          <w:sz w:val="22"/>
          <w:szCs w:val="22"/>
        </w:rPr>
        <w:t xml:space="preserve"> </w:t>
      </w:r>
      <w:r w:rsidRPr="00673CC2">
        <w:rPr>
          <w:rFonts w:cstheme="minorHAnsi"/>
          <w:color w:val="000000" w:themeColor="text1"/>
          <w:sz w:val="22"/>
          <w:szCs w:val="22"/>
        </w:rPr>
        <w:t xml:space="preserve">  </w:t>
      </w:r>
    </w:p>
    <w:p w14:paraId="6BE4D4D1" w14:textId="77777777" w:rsidR="00673CC2" w:rsidRPr="00673CC2" w:rsidRDefault="00673CC2" w:rsidP="00673CC2">
      <w:pPr>
        <w:rPr>
          <w:rFonts w:cstheme="minorHAnsi"/>
          <w:sz w:val="22"/>
          <w:szCs w:val="22"/>
        </w:rPr>
      </w:pPr>
    </w:p>
    <w:p w14:paraId="44C54BF0" w14:textId="3C50628F" w:rsidR="00673CC2" w:rsidRPr="00673CC2" w:rsidRDefault="00673CC2" w:rsidP="00673CC2">
      <w:pPr>
        <w:rPr>
          <w:rFonts w:cstheme="minorHAnsi"/>
          <w:sz w:val="22"/>
          <w:szCs w:val="22"/>
        </w:rPr>
      </w:pPr>
      <w:r w:rsidRPr="00673CC2">
        <w:rPr>
          <w:rFonts w:cstheme="minorHAnsi"/>
          <w:sz w:val="22"/>
          <w:szCs w:val="22"/>
        </w:rPr>
        <w:t>“These projects bring fiber and advanced wireless to small, isolated communities and villages</w:t>
      </w:r>
      <w:r w:rsidR="00715B21">
        <w:rPr>
          <w:rFonts w:cstheme="minorHAnsi"/>
          <w:sz w:val="22"/>
          <w:szCs w:val="22"/>
        </w:rPr>
        <w:t>. These communities are hindered by</w:t>
      </w:r>
      <w:r w:rsidRPr="00673CC2">
        <w:rPr>
          <w:rFonts w:cstheme="minorHAnsi"/>
          <w:sz w:val="22"/>
          <w:szCs w:val="22"/>
        </w:rPr>
        <w:t xml:space="preserve"> dilapidated technologies installed decades ago with minimal upgrades</w:t>
      </w:r>
      <w:r w:rsidR="00FB1865">
        <w:rPr>
          <w:rFonts w:cstheme="minorHAnsi"/>
          <w:sz w:val="22"/>
          <w:szCs w:val="22"/>
        </w:rPr>
        <w:t>,</w:t>
      </w:r>
      <w:r w:rsidR="00AE5F42">
        <w:rPr>
          <w:rFonts w:cstheme="minorHAnsi"/>
          <w:sz w:val="22"/>
          <w:szCs w:val="22"/>
        </w:rPr>
        <w:t xml:space="preserve"> result</w:t>
      </w:r>
      <w:r w:rsidR="00FB1865">
        <w:rPr>
          <w:rFonts w:cstheme="minorHAnsi"/>
          <w:sz w:val="22"/>
          <w:szCs w:val="22"/>
        </w:rPr>
        <w:t>ing</w:t>
      </w:r>
      <w:r w:rsidR="00AE5F42">
        <w:rPr>
          <w:rFonts w:cstheme="minorHAnsi"/>
          <w:sz w:val="22"/>
          <w:szCs w:val="22"/>
        </w:rPr>
        <w:t xml:space="preserve"> in a lack of access</w:t>
      </w:r>
      <w:r w:rsidR="00570575">
        <w:rPr>
          <w:rFonts w:cstheme="minorHAnsi"/>
          <w:sz w:val="22"/>
          <w:szCs w:val="22"/>
        </w:rPr>
        <w:t xml:space="preserve"> for residents and businesses</w:t>
      </w:r>
      <w:r w:rsidR="00AE5F42">
        <w:rPr>
          <w:rFonts w:cstheme="minorHAnsi"/>
          <w:sz w:val="22"/>
          <w:szCs w:val="22"/>
        </w:rPr>
        <w:t xml:space="preserve"> to</w:t>
      </w:r>
      <w:r w:rsidR="0014550B">
        <w:rPr>
          <w:rFonts w:cstheme="minorHAnsi"/>
          <w:sz w:val="22"/>
          <w:szCs w:val="22"/>
        </w:rPr>
        <w:t xml:space="preserve"> fundamental</w:t>
      </w:r>
      <w:r w:rsidR="00AE5F42">
        <w:rPr>
          <w:rFonts w:cstheme="minorHAnsi"/>
          <w:sz w:val="22"/>
          <w:szCs w:val="22"/>
        </w:rPr>
        <w:t xml:space="preserve"> Internet applications and resources </w:t>
      </w:r>
      <w:r w:rsidR="0014550B">
        <w:rPr>
          <w:rFonts w:cstheme="minorHAnsi"/>
          <w:sz w:val="22"/>
          <w:szCs w:val="22"/>
        </w:rPr>
        <w:t>that most of us take for granted</w:t>
      </w:r>
      <w:r w:rsidR="00570575">
        <w:rPr>
          <w:rFonts w:cstheme="minorHAnsi"/>
          <w:sz w:val="22"/>
          <w:szCs w:val="22"/>
        </w:rPr>
        <w:t>.</w:t>
      </w:r>
      <w:r w:rsidR="004B3B6D">
        <w:rPr>
          <w:rFonts w:cstheme="minorHAnsi"/>
          <w:sz w:val="22"/>
          <w:szCs w:val="22"/>
        </w:rPr>
        <w:t xml:space="preserve"> </w:t>
      </w:r>
      <w:r w:rsidRPr="00673CC2">
        <w:rPr>
          <w:rFonts w:cstheme="minorHAnsi"/>
          <w:sz w:val="22"/>
          <w:szCs w:val="22"/>
        </w:rPr>
        <w:t>The</w:t>
      </w:r>
      <w:r w:rsidR="004929C5">
        <w:rPr>
          <w:rFonts w:cstheme="minorHAnsi"/>
          <w:sz w:val="22"/>
          <w:szCs w:val="22"/>
        </w:rPr>
        <w:t xml:space="preserve"> </w:t>
      </w:r>
      <w:r w:rsidR="00E71ECF">
        <w:rPr>
          <w:rFonts w:cstheme="minorHAnsi"/>
          <w:sz w:val="22"/>
          <w:szCs w:val="22"/>
        </w:rPr>
        <w:t xml:space="preserve">subsidy support and </w:t>
      </w:r>
      <w:r w:rsidR="00B70F61">
        <w:rPr>
          <w:rFonts w:cstheme="minorHAnsi"/>
          <w:sz w:val="22"/>
          <w:szCs w:val="22"/>
        </w:rPr>
        <w:t xml:space="preserve">subsequent improvements to </w:t>
      </w:r>
      <w:r w:rsidR="004929C5">
        <w:rPr>
          <w:rFonts w:cstheme="minorHAnsi"/>
          <w:sz w:val="22"/>
          <w:szCs w:val="22"/>
        </w:rPr>
        <w:t>broadband infrastructure</w:t>
      </w:r>
      <w:r w:rsidRPr="00673CC2">
        <w:rPr>
          <w:rFonts w:cstheme="minorHAnsi"/>
          <w:sz w:val="22"/>
          <w:szCs w:val="22"/>
        </w:rPr>
        <w:t xml:space="preserve"> will benefit these communities for generations,” said Kelly Schlegel, OBAE Director.  </w:t>
      </w:r>
    </w:p>
    <w:p w14:paraId="5FFF1352" w14:textId="77777777" w:rsidR="00673CC2" w:rsidRPr="00673CC2" w:rsidRDefault="00673CC2" w:rsidP="00673CC2">
      <w:pPr>
        <w:snapToGrid w:val="0"/>
        <w:rPr>
          <w:sz w:val="22"/>
          <w:szCs w:val="22"/>
        </w:rPr>
      </w:pPr>
    </w:p>
    <w:p w14:paraId="57952886" w14:textId="11C6C3C3" w:rsidR="00673CC2" w:rsidRPr="00673CC2" w:rsidRDefault="00673CC2" w:rsidP="00673CC2">
      <w:pPr>
        <w:snapToGrid w:val="0"/>
        <w:rPr>
          <w:sz w:val="22"/>
          <w:szCs w:val="22"/>
        </w:rPr>
      </w:pPr>
      <w:r w:rsidRPr="00673CC2">
        <w:rPr>
          <w:sz w:val="22"/>
          <w:szCs w:val="22"/>
        </w:rPr>
        <w:t xml:space="preserve">Valley </w:t>
      </w:r>
      <w:r w:rsidR="009E13D4">
        <w:rPr>
          <w:sz w:val="22"/>
          <w:szCs w:val="22"/>
        </w:rPr>
        <w:t>TeleCom Group</w:t>
      </w:r>
      <w:r w:rsidRPr="00673CC2">
        <w:rPr>
          <w:sz w:val="22"/>
          <w:szCs w:val="22"/>
        </w:rPr>
        <w:t xml:space="preserve"> will bring fiber to Columbus, a small border town of 1,400 residents, who have relied on DSL via copper lines installed over half a century ago. </w:t>
      </w:r>
    </w:p>
    <w:p w14:paraId="10408090" w14:textId="77777777" w:rsidR="00673CC2" w:rsidRPr="00673CC2" w:rsidRDefault="00673CC2" w:rsidP="00673CC2">
      <w:pPr>
        <w:snapToGrid w:val="0"/>
        <w:rPr>
          <w:sz w:val="22"/>
          <w:szCs w:val="22"/>
        </w:rPr>
      </w:pPr>
    </w:p>
    <w:p w14:paraId="1590CCA9" w14:textId="7649867A" w:rsidR="00673CC2" w:rsidRPr="00673CC2" w:rsidRDefault="00673CC2" w:rsidP="00673CC2">
      <w:pPr>
        <w:snapToGrid w:val="0"/>
        <w:rPr>
          <w:sz w:val="22"/>
          <w:szCs w:val="22"/>
        </w:rPr>
      </w:pPr>
      <w:r w:rsidRPr="00673CC2">
        <w:rPr>
          <w:rFonts w:ascii="Calibri" w:hAnsi="Calibri" w:cs="Calibri"/>
          <w:color w:val="212121"/>
          <w:sz w:val="22"/>
          <w:szCs w:val="22"/>
        </w:rPr>
        <w:t xml:space="preserve">“Since 1962, Valley’s sole mission has been to enhance the quality of life in rural communities by connecting them to the communications network. Connecting our rural communities to high-speed fiber internet is not just about access to technology, it’s about access to opportunity. By investing in infrastructure that brings reliable and affordable internet to those in </w:t>
      </w:r>
      <w:commentRangeStart w:id="0"/>
      <w:r w:rsidRPr="00673CC2">
        <w:rPr>
          <w:rFonts w:ascii="Calibri" w:hAnsi="Calibri" w:cs="Calibri"/>
          <w:color w:val="212121"/>
          <w:sz w:val="22"/>
          <w:szCs w:val="22"/>
        </w:rPr>
        <w:t>poverty-stricken areas</w:t>
      </w:r>
      <w:commentRangeEnd w:id="0"/>
      <w:r w:rsidR="001157C2">
        <w:rPr>
          <w:rStyle w:val="CommentReference"/>
        </w:rPr>
        <w:commentReference w:id="0"/>
      </w:r>
      <w:r w:rsidRPr="00673CC2">
        <w:rPr>
          <w:rFonts w:ascii="Calibri" w:hAnsi="Calibri" w:cs="Calibri"/>
          <w:color w:val="212121"/>
          <w:sz w:val="22"/>
          <w:szCs w:val="22"/>
        </w:rPr>
        <w:t>, we are opening doors to education, healthcare, and economic growth that were previously closed. This is not just a technological advancement, it’s a step towards equality and progress for all.“</w:t>
      </w:r>
      <w:r w:rsidR="004115CD">
        <w:rPr>
          <w:rFonts w:ascii="Calibri" w:hAnsi="Calibri" w:cs="Calibri"/>
          <w:color w:val="212121"/>
          <w:sz w:val="22"/>
          <w:szCs w:val="22"/>
        </w:rPr>
        <w:t xml:space="preserve"> </w:t>
      </w:r>
      <w:r w:rsidRPr="00673CC2">
        <w:rPr>
          <w:rFonts w:ascii="Calibri" w:hAnsi="Calibri" w:cs="Calibri"/>
          <w:color w:val="212121"/>
          <w:sz w:val="22"/>
          <w:szCs w:val="22"/>
        </w:rPr>
        <w:t>said Steve Metts, CEO of Valley TeleCom Group.</w:t>
      </w:r>
    </w:p>
    <w:p w14:paraId="6F0839A5" w14:textId="77777777" w:rsidR="00673CC2" w:rsidRPr="00673CC2" w:rsidRDefault="00673CC2" w:rsidP="00673CC2">
      <w:pPr>
        <w:snapToGrid w:val="0"/>
        <w:rPr>
          <w:sz w:val="22"/>
          <w:szCs w:val="22"/>
        </w:rPr>
      </w:pPr>
    </w:p>
    <w:p w14:paraId="29986F5F" w14:textId="55540511" w:rsidR="00673CC2" w:rsidRPr="00673CC2" w:rsidRDefault="00673CC2" w:rsidP="00673CC2">
      <w:pPr>
        <w:snapToGrid w:val="0"/>
        <w:rPr>
          <w:rFonts w:cstheme="minorHAnsi"/>
          <w:sz w:val="22"/>
          <w:szCs w:val="22"/>
        </w:rPr>
      </w:pPr>
      <w:r w:rsidRPr="00673CC2">
        <w:rPr>
          <w:rFonts w:cstheme="minorHAnsi"/>
          <w:sz w:val="22"/>
          <w:szCs w:val="22"/>
        </w:rPr>
        <w:t xml:space="preserve">Sacred Wind will serve mobile home communities and surrounding areas with </w:t>
      </w:r>
      <w:r w:rsidR="00CF1225">
        <w:rPr>
          <w:rFonts w:cstheme="minorHAnsi"/>
          <w:sz w:val="22"/>
          <w:szCs w:val="22"/>
        </w:rPr>
        <w:t xml:space="preserve">an </w:t>
      </w:r>
      <w:r w:rsidRPr="00673CC2">
        <w:rPr>
          <w:rFonts w:cstheme="minorHAnsi"/>
          <w:sz w:val="22"/>
          <w:szCs w:val="22"/>
        </w:rPr>
        <w:t xml:space="preserve">advanced fixed wireless </w:t>
      </w:r>
      <w:r w:rsidR="00CF1225">
        <w:rPr>
          <w:rFonts w:cstheme="minorHAnsi"/>
          <w:sz w:val="22"/>
          <w:szCs w:val="22"/>
        </w:rPr>
        <w:t xml:space="preserve">network </w:t>
      </w:r>
      <w:r w:rsidRPr="00673CC2">
        <w:rPr>
          <w:rFonts w:cstheme="minorHAnsi"/>
          <w:sz w:val="22"/>
          <w:szCs w:val="22"/>
        </w:rPr>
        <w:t xml:space="preserve">that can deliver 100 Mbps symmetrical speeds and even higher speeds in the future. The network then ties to its fiber backhaul network. </w:t>
      </w:r>
    </w:p>
    <w:p w14:paraId="57F54FE0" w14:textId="77777777" w:rsidR="00673CC2" w:rsidRPr="00673CC2" w:rsidRDefault="00673CC2" w:rsidP="00673CC2">
      <w:pPr>
        <w:snapToGrid w:val="0"/>
        <w:rPr>
          <w:rFonts w:cstheme="minorHAnsi"/>
          <w:sz w:val="22"/>
          <w:szCs w:val="22"/>
        </w:rPr>
      </w:pPr>
    </w:p>
    <w:p w14:paraId="79061F56" w14:textId="77777777" w:rsidR="00673CC2" w:rsidRPr="00673CC2" w:rsidRDefault="00673CC2" w:rsidP="00673CC2">
      <w:pPr>
        <w:snapToGrid w:val="0"/>
        <w:rPr>
          <w:rFonts w:cstheme="minorHAnsi"/>
          <w:sz w:val="22"/>
          <w:szCs w:val="22"/>
        </w:rPr>
      </w:pPr>
      <w:r w:rsidRPr="00673CC2">
        <w:rPr>
          <w:rFonts w:cstheme="minorHAnsi"/>
          <w:sz w:val="22"/>
          <w:szCs w:val="22"/>
        </w:rPr>
        <w:t xml:space="preserve">“Sacred Wind has never been satisfied with meeting minimum requirements for our customers. We have always been driven to provide our rural areas the same or better service as is offered in Albuquerque, Denver, or New York. This project, using an affordable, very high-speed microwave technology, is specifically designed to level the playing field for neighborhoods that have always been at </w:t>
      </w:r>
      <w:r w:rsidRPr="00673CC2">
        <w:rPr>
          <w:rFonts w:cstheme="minorHAnsi"/>
          <w:sz w:val="22"/>
          <w:szCs w:val="22"/>
        </w:rPr>
        <w:lastRenderedPageBreak/>
        <w:t>the bottom of the list of other companies.  This is truly an information technology equalizer.”  John Badal, Board Member, Alloy, LLC, a Commnet and Sacred Wind alliance.  </w:t>
      </w:r>
    </w:p>
    <w:p w14:paraId="7AED13B6" w14:textId="77777777" w:rsidR="00673CC2" w:rsidRPr="00673CC2" w:rsidRDefault="00673CC2" w:rsidP="00673CC2">
      <w:pPr>
        <w:rPr>
          <w:rFonts w:ascii="Calibri Light" w:eastAsia="Times New Roman" w:hAnsi="Calibri Light" w:cs="Calibri Light"/>
          <w:color w:val="212121"/>
        </w:rPr>
      </w:pPr>
      <w:r w:rsidRPr="00673CC2">
        <w:rPr>
          <w:rFonts w:ascii="Calibri Light" w:eastAsia="Times New Roman" w:hAnsi="Calibri Light" w:cs="Calibri Light"/>
          <w:color w:val="212121"/>
        </w:rPr>
        <w:t> </w:t>
      </w:r>
    </w:p>
    <w:p w14:paraId="741A157D" w14:textId="77777777" w:rsidR="00673CC2" w:rsidRPr="009E13D4" w:rsidRDefault="00673CC2" w:rsidP="00673CC2">
      <w:pPr>
        <w:rPr>
          <w:rFonts w:cstheme="minorHAnsi"/>
          <w:sz w:val="22"/>
          <w:szCs w:val="22"/>
        </w:rPr>
      </w:pPr>
      <w:r w:rsidRPr="009E13D4">
        <w:rPr>
          <w:rFonts w:cstheme="minorHAnsi"/>
          <w:sz w:val="22"/>
          <w:szCs w:val="22"/>
        </w:rPr>
        <w:t>Western New Mexico Telephone will deploy a fiber network connecting the communities of Gila Hot Springs, Silver City, Mimbres, and Lake Roberts.</w:t>
      </w:r>
    </w:p>
    <w:p w14:paraId="27B75DAA" w14:textId="77777777" w:rsidR="00673CC2" w:rsidRPr="009E13D4" w:rsidRDefault="00673CC2" w:rsidP="00673CC2">
      <w:pPr>
        <w:rPr>
          <w:rFonts w:cstheme="minorHAnsi"/>
          <w:sz w:val="22"/>
          <w:szCs w:val="22"/>
        </w:rPr>
      </w:pPr>
    </w:p>
    <w:p w14:paraId="409102F9" w14:textId="72EEF16F" w:rsidR="00673CC2" w:rsidRPr="00673CC2" w:rsidRDefault="00673CC2" w:rsidP="00673CC2">
      <w:pPr>
        <w:rPr>
          <w:rFonts w:ascii="Calibri" w:eastAsia="Times New Roman" w:hAnsi="Calibri" w:cs="Calibri"/>
          <w:color w:val="212121"/>
          <w:sz w:val="20"/>
          <w:szCs w:val="20"/>
        </w:rPr>
      </w:pPr>
      <w:r w:rsidRPr="00673CC2">
        <w:rPr>
          <w:rFonts w:ascii="Calibri" w:eastAsia="Times New Roman" w:hAnsi="Calibri" w:cs="Calibri"/>
          <w:color w:val="212121"/>
          <w:sz w:val="22"/>
          <w:szCs w:val="22"/>
        </w:rPr>
        <w:t>“This project involves a cost-efficient yet future-proof network design by deploying FTTP that connects to an ethernet radio network, which ties back into our existing regional fiber backbone. The combination of grant funds combined with our existing assets will enable us to serve over 2</w:t>
      </w:r>
      <w:r w:rsidR="009E13D4">
        <w:rPr>
          <w:rFonts w:ascii="Calibri" w:eastAsia="Times New Roman" w:hAnsi="Calibri" w:cs="Calibri"/>
          <w:color w:val="212121"/>
          <w:sz w:val="22"/>
          <w:szCs w:val="22"/>
        </w:rPr>
        <w:t>20</w:t>
      </w:r>
      <w:r w:rsidRPr="00673CC2">
        <w:rPr>
          <w:rFonts w:ascii="Calibri" w:eastAsia="Times New Roman" w:hAnsi="Calibri" w:cs="Calibri"/>
          <w:color w:val="212121"/>
          <w:sz w:val="22"/>
          <w:szCs w:val="22"/>
        </w:rPr>
        <w:t xml:space="preserve"> highly rural and remote locations with gigabit fiber optic Internet, therefore allowing our residents and businesses the benefit of first-class communications services,” </w:t>
      </w:r>
      <w:r w:rsidRPr="00673CC2">
        <w:rPr>
          <w:color w:val="212121"/>
          <w:sz w:val="22"/>
          <w:szCs w:val="22"/>
        </w:rPr>
        <w:t xml:space="preserve">said Daniel Meszler, General Manager of Western New Mexico Telephone. </w:t>
      </w:r>
    </w:p>
    <w:p w14:paraId="162BD77C" w14:textId="77777777" w:rsidR="00673CC2" w:rsidRPr="00673CC2" w:rsidRDefault="00673CC2" w:rsidP="00673CC2">
      <w:pPr>
        <w:rPr>
          <w:rFonts w:ascii="Calibri" w:eastAsia="Times New Roman" w:hAnsi="Calibri" w:cs="Calibri"/>
          <w:color w:val="212121"/>
          <w:sz w:val="22"/>
          <w:szCs w:val="22"/>
        </w:rPr>
      </w:pPr>
    </w:p>
    <w:p w14:paraId="2AF67F66" w14:textId="683FB3D1" w:rsidR="00673CC2" w:rsidRPr="00673CC2" w:rsidRDefault="00673CC2" w:rsidP="00673CC2">
      <w:pPr>
        <w:snapToGrid w:val="0"/>
        <w:rPr>
          <w:rFonts w:cstheme="minorHAnsi"/>
          <w:sz w:val="22"/>
          <w:szCs w:val="22"/>
        </w:rPr>
      </w:pPr>
      <w:r w:rsidRPr="00673CC2">
        <w:rPr>
          <w:sz w:val="22"/>
          <w:szCs w:val="22"/>
        </w:rPr>
        <w:t>Tularosa</w:t>
      </w:r>
      <w:r w:rsidRPr="00673CC2">
        <w:rPr>
          <w:rFonts w:cstheme="minorHAnsi"/>
          <w:sz w:val="22"/>
          <w:szCs w:val="22"/>
        </w:rPr>
        <w:t xml:space="preserve"> will deliver a fiber network to over 1,000 primarily unserved residents and businesses in Otero and Lincoln Counties. </w:t>
      </w:r>
      <w:r w:rsidR="007559DF">
        <w:rPr>
          <w:rFonts w:cstheme="minorHAnsi"/>
          <w:sz w:val="22"/>
          <w:szCs w:val="22"/>
        </w:rPr>
        <w:t xml:space="preserve">Joshua Beug, General Manager of Tularosa Communications expressed </w:t>
      </w:r>
      <w:r w:rsidR="00C02944">
        <w:rPr>
          <w:rFonts w:cstheme="minorHAnsi"/>
          <w:sz w:val="22"/>
          <w:szCs w:val="22"/>
        </w:rPr>
        <w:t>their enthusiasm for the project:</w:t>
      </w:r>
    </w:p>
    <w:p w14:paraId="4D822D3E" w14:textId="77777777" w:rsidR="00673CC2" w:rsidRPr="00673CC2" w:rsidRDefault="00673CC2" w:rsidP="00673CC2">
      <w:pPr>
        <w:snapToGrid w:val="0"/>
        <w:rPr>
          <w:rFonts w:cstheme="minorHAnsi"/>
          <w:sz w:val="22"/>
          <w:szCs w:val="22"/>
        </w:rPr>
      </w:pPr>
    </w:p>
    <w:p w14:paraId="160E7E6A" w14:textId="06BED816" w:rsidR="00673CC2" w:rsidRPr="00673CC2" w:rsidRDefault="00673CC2" w:rsidP="00673CC2">
      <w:pPr>
        <w:rPr>
          <w:rFonts w:ascii="Calibri" w:eastAsia="Times New Roman" w:hAnsi="Calibri" w:cs="Calibri"/>
          <w:color w:val="212121"/>
          <w:sz w:val="22"/>
          <w:szCs w:val="22"/>
        </w:rPr>
      </w:pPr>
      <w:r w:rsidRPr="00673CC2">
        <w:rPr>
          <w:rFonts w:ascii="Calibri" w:eastAsia="Times New Roman" w:hAnsi="Calibri" w:cs="Calibri"/>
          <w:color w:val="212121"/>
          <w:sz w:val="22"/>
          <w:szCs w:val="22"/>
        </w:rPr>
        <w:t>“We are very excited and honored that the State of New Mexico’s Office of Broadband Access and Expansion has chosen Tularosa Communications to receive a Pilot Program Broadband grant. The grant funds will be used to build a 76-mile high-capacity fiber distribution network to bring gigabit speeds to approximately 1,100 homes in parts of Lincoln and Otero counties. We look forward to working with OBAE and the State of New Mexico in bringing these types of services to rural New Mexico</w:t>
      </w:r>
      <w:r w:rsidR="00C02944">
        <w:rPr>
          <w:rFonts w:ascii="Calibri" w:eastAsia="Times New Roman" w:hAnsi="Calibri" w:cs="Calibri"/>
          <w:color w:val="212121"/>
          <w:sz w:val="22"/>
          <w:szCs w:val="22"/>
        </w:rPr>
        <w:t>.”</w:t>
      </w:r>
    </w:p>
    <w:p w14:paraId="3AFF6E5D" w14:textId="77777777" w:rsidR="00673CC2" w:rsidRPr="00673CC2" w:rsidRDefault="00673CC2" w:rsidP="00673CC2">
      <w:pPr>
        <w:snapToGrid w:val="0"/>
        <w:rPr>
          <w:sz w:val="22"/>
          <w:szCs w:val="22"/>
        </w:rPr>
      </w:pPr>
    </w:p>
    <w:p w14:paraId="7439B941" w14:textId="1C6AE42E" w:rsidR="00673CC2" w:rsidRPr="00673CC2" w:rsidRDefault="00673CC2" w:rsidP="00673CC2">
      <w:pPr>
        <w:snapToGrid w:val="0"/>
        <w:rPr>
          <w:sz w:val="22"/>
          <w:szCs w:val="22"/>
        </w:rPr>
      </w:pPr>
      <w:r w:rsidRPr="00673CC2">
        <w:rPr>
          <w:sz w:val="22"/>
          <w:szCs w:val="22"/>
        </w:rPr>
        <w:t>These projects involve applications filed in Wave Two. Several other applications from Wave Two remain under consideration and will be announced later in April. The deadline for Wave Three is April 3</w:t>
      </w:r>
      <w:r w:rsidRPr="00673CC2">
        <w:rPr>
          <w:sz w:val="22"/>
          <w:szCs w:val="22"/>
          <w:vertAlign w:val="superscript"/>
        </w:rPr>
        <w:t>rd</w:t>
      </w:r>
      <w:r w:rsidRPr="00673CC2">
        <w:rPr>
          <w:sz w:val="22"/>
          <w:szCs w:val="22"/>
        </w:rPr>
        <w:t xml:space="preserve">. </w:t>
      </w:r>
    </w:p>
    <w:p w14:paraId="6584D9CA" w14:textId="77777777" w:rsidR="00673CC2" w:rsidRPr="00673CC2" w:rsidRDefault="00673CC2" w:rsidP="00673CC2">
      <w:pPr>
        <w:snapToGrid w:val="0"/>
        <w:rPr>
          <w:sz w:val="22"/>
          <w:szCs w:val="22"/>
        </w:rPr>
      </w:pPr>
    </w:p>
    <w:p w14:paraId="34A3F8DE" w14:textId="77777777" w:rsidR="00673CC2" w:rsidRPr="00673CC2" w:rsidRDefault="00673CC2" w:rsidP="00673CC2">
      <w:pPr>
        <w:snapToGrid w:val="0"/>
        <w:rPr>
          <w:sz w:val="22"/>
          <w:szCs w:val="22"/>
        </w:rPr>
      </w:pPr>
      <w:r w:rsidRPr="00673CC2">
        <w:rPr>
          <w:sz w:val="22"/>
          <w:szCs w:val="22"/>
        </w:rPr>
        <w:t xml:space="preserve">“We encourage ISPs to file applications that target </w:t>
      </w:r>
      <w:r w:rsidRPr="00673CC2">
        <w:rPr>
          <w:rFonts w:cstheme="minorHAnsi"/>
          <w:sz w:val="22"/>
          <w:szCs w:val="22"/>
        </w:rPr>
        <w:t xml:space="preserve">unserved and underserved areas with sustainable, scalable networks and financially viable business plans that serve the comprehensive community with high-quality, reasonably priced solutions. Due to limited funds in the Pilot Program, OBAE may not be able to fund every strong application; however, they will be considered in future funding programs, such as the Connect New Mexico Fund later this year and the Broadband Equity, Access, and Deployment Program (BEAD) in the future,” noted Sandeep Taxali, Program Advisor to OBAE. </w:t>
      </w:r>
    </w:p>
    <w:p w14:paraId="118F385D" w14:textId="77777777" w:rsidR="00673CC2" w:rsidRPr="00673CC2" w:rsidRDefault="00673CC2" w:rsidP="00673CC2">
      <w:pPr>
        <w:snapToGrid w:val="0"/>
        <w:rPr>
          <w:sz w:val="22"/>
          <w:szCs w:val="22"/>
        </w:rPr>
      </w:pPr>
    </w:p>
    <w:p w14:paraId="1BB8A149" w14:textId="64FCB8D6" w:rsidR="006E7324" w:rsidRDefault="006E7324" w:rsidP="00673CC2">
      <w:pPr>
        <w:jc w:val="center"/>
      </w:pPr>
    </w:p>
    <w:sectPr w:rsidR="006E7324" w:rsidSect="009B4006">
      <w:headerReference w:type="first" r:id="rId12"/>
      <w:footerReference w:type="first" r:id="rId13"/>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hompson, Erin, DoIT" w:date="2023-03-24T20:33:00Z" w:initials="TED">
    <w:p w14:paraId="245CF48E" w14:textId="77777777" w:rsidR="001157C2" w:rsidRDefault="001157C2" w:rsidP="0025569C">
      <w:pPr>
        <w:pStyle w:val="CommentText"/>
      </w:pPr>
      <w:r>
        <w:rPr>
          <w:rStyle w:val="CommentReference"/>
        </w:rPr>
        <w:annotationRef/>
      </w:r>
      <w:r>
        <w:t>@Sandeep, Heather said her boss asked that the reference to "poverty stricken" be removed. Did you get any updates along those lines?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5CF48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88780" w16cex:dateUtc="2023-03-25T0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5CF48E" w16cid:durableId="27C887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75155" w14:textId="77777777" w:rsidR="001735B3" w:rsidRDefault="001735B3" w:rsidP="00B75C8E">
      <w:r>
        <w:separator/>
      </w:r>
    </w:p>
  </w:endnote>
  <w:endnote w:type="continuationSeparator" w:id="0">
    <w:p w14:paraId="3E811806" w14:textId="77777777" w:rsidR="001735B3" w:rsidRDefault="001735B3" w:rsidP="00B7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4B85" w14:textId="4C3D7A85" w:rsidR="009B4006" w:rsidRPr="009B4006" w:rsidRDefault="009B4006" w:rsidP="009B4006">
    <w:pPr>
      <w:pStyle w:val="Footer"/>
      <w:jc w:val="center"/>
      <w:rPr>
        <w:rFonts w:ascii="Times New Roman" w:hAnsi="Times New Roman" w:cs="Times New Roman"/>
      </w:rPr>
    </w:pPr>
    <w:r w:rsidRPr="00482B06">
      <w:rPr>
        <w:rFonts w:ascii="Times New Roman" w:hAnsi="Times New Roman" w:cs="Times New Roman"/>
        <w:noProof/>
        <w:color w:val="62CBC9"/>
        <w14:ligatures w14:val="standardContextual"/>
      </w:rPr>
      <mc:AlternateContent>
        <mc:Choice Requires="wps">
          <w:drawing>
            <wp:anchor distT="0" distB="0" distL="114300" distR="114300" simplePos="0" relativeHeight="251663360" behindDoc="0" locked="0" layoutInCell="1" allowOverlap="1" wp14:anchorId="7E7C3606" wp14:editId="7E318162">
              <wp:simplePos x="0" y="0"/>
              <wp:positionH relativeFrom="column">
                <wp:posOffset>0</wp:posOffset>
              </wp:positionH>
              <wp:positionV relativeFrom="paragraph">
                <wp:posOffset>-77114</wp:posOffset>
              </wp:positionV>
              <wp:extent cx="5942965" cy="21946"/>
              <wp:effectExtent l="0" t="0" r="19685" b="35560"/>
              <wp:wrapNone/>
              <wp:docPr id="1" name="Straight Connector 1"/>
              <wp:cNvGraphicFramePr/>
              <a:graphic xmlns:a="http://schemas.openxmlformats.org/drawingml/2006/main">
                <a:graphicData uri="http://schemas.microsoft.com/office/word/2010/wordprocessingShape">
                  <wps:wsp>
                    <wps:cNvCnPr/>
                    <wps:spPr>
                      <a:xfrm>
                        <a:off x="0" y="0"/>
                        <a:ext cx="5942965" cy="21946"/>
                      </a:xfrm>
                      <a:prstGeom prst="line">
                        <a:avLst/>
                      </a:prstGeom>
                      <a:ln>
                        <a:solidFill>
                          <a:srgbClr val="62CBC9"/>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35051D2E"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05pt" to="467.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" strokecolor="#62cbc9" strokeweight="1.5pt">
              <v:stroke joinstyle="miter"/>
            </v:line>
          </w:pict>
        </mc:Fallback>
      </mc:AlternateContent>
    </w:r>
    <w:r w:rsidRPr="00482B06">
      <w:rPr>
        <w:rFonts w:ascii="Times New Roman" w:hAnsi="Times New Roman" w:cs="Times New Roman"/>
      </w:rPr>
      <w:t>715 Alta Vista St. Santa Fe NM 87505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C01BD" w14:textId="77777777" w:rsidR="001735B3" w:rsidRDefault="001735B3" w:rsidP="00B75C8E">
      <w:r>
        <w:separator/>
      </w:r>
    </w:p>
  </w:footnote>
  <w:footnote w:type="continuationSeparator" w:id="0">
    <w:p w14:paraId="7989586C" w14:textId="77777777" w:rsidR="001735B3" w:rsidRDefault="001735B3" w:rsidP="00B75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D2FC" w14:textId="77777777" w:rsidR="009B4006" w:rsidRDefault="009B4006" w:rsidP="009B4006">
    <w:pPr>
      <w:tabs>
        <w:tab w:val="center" w:pos="4680"/>
        <w:tab w:val="right" w:pos="9360"/>
      </w:tabs>
      <w:ind w:left="-360"/>
      <w:jc w:val="center"/>
      <w:rPr>
        <w:rFonts w:ascii="Times New Roman" w:hAnsi="Times New Roman"/>
        <w:smallCaps/>
      </w:rPr>
    </w:pPr>
    <w:r>
      <w:rPr>
        <w:noProof/>
      </w:rPr>
      <w:drawing>
        <wp:inline distT="0" distB="0" distL="0" distR="0" wp14:anchorId="7DC47140" wp14:editId="74399B29">
          <wp:extent cx="5295900" cy="989586"/>
          <wp:effectExtent l="0" t="0" r="0" b="127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29367" cy="995840"/>
                  </a:xfrm>
                  <a:prstGeom prst="rect">
                    <a:avLst/>
                  </a:prstGeom>
                  <a:noFill/>
                  <a:ln>
                    <a:noFill/>
                  </a:ln>
                </pic:spPr>
              </pic:pic>
            </a:graphicData>
          </a:graphic>
        </wp:inline>
      </w:drawing>
    </w:r>
  </w:p>
  <w:p w14:paraId="154AE2E5" w14:textId="77777777" w:rsidR="009B4006" w:rsidRDefault="009B4006" w:rsidP="009B4006">
    <w:pPr>
      <w:tabs>
        <w:tab w:val="center" w:pos="4680"/>
        <w:tab w:val="right" w:pos="9360"/>
      </w:tabs>
      <w:ind w:left="-360"/>
      <w:jc w:val="center"/>
      <w:rPr>
        <w:rFonts w:ascii="Times New Roman" w:hAnsi="Times New Roman"/>
        <w:smallCaps/>
      </w:rPr>
    </w:pPr>
  </w:p>
  <w:p w14:paraId="74EF1A65" w14:textId="77777777" w:rsidR="009B4006" w:rsidRPr="003C1450" w:rsidRDefault="009B4006" w:rsidP="009B4006">
    <w:pPr>
      <w:tabs>
        <w:tab w:val="center" w:pos="4680"/>
        <w:tab w:val="right" w:pos="9360"/>
      </w:tabs>
      <w:rPr>
        <w:rFonts w:ascii="Times New Roman" w:hAnsi="Times New Roman"/>
      </w:rPr>
    </w:pPr>
  </w:p>
  <w:p w14:paraId="13D47F2B" w14:textId="77777777" w:rsidR="009B4006" w:rsidRPr="003C1450" w:rsidRDefault="009B4006" w:rsidP="009B4006">
    <w:pPr>
      <w:tabs>
        <w:tab w:val="center" w:pos="4680"/>
        <w:tab w:val="left" w:pos="7020"/>
        <w:tab w:val="right" w:pos="9360"/>
      </w:tabs>
      <w:rPr>
        <w:rFonts w:ascii="Times New Roman" w:hAnsi="Times New Roman"/>
      </w:rPr>
    </w:pPr>
    <w:r w:rsidRPr="003C1450">
      <w:rPr>
        <w:rFonts w:ascii="Times New Roman" w:hAnsi="Times New Roman"/>
        <w:b/>
      </w:rPr>
      <w:t xml:space="preserve">MICHELLE LUJAN GRISHAM                                                              </w:t>
    </w:r>
    <w:r>
      <w:rPr>
        <w:rFonts w:ascii="Times New Roman" w:hAnsi="Times New Roman"/>
        <w:b/>
      </w:rPr>
      <w:t>KELLY SCHLEGEL</w:t>
    </w:r>
  </w:p>
  <w:p w14:paraId="5A1F4C71" w14:textId="77777777" w:rsidR="009B4006" w:rsidRDefault="009B4006" w:rsidP="009B4006">
    <w:pPr>
      <w:tabs>
        <w:tab w:val="center" w:pos="4680"/>
      </w:tabs>
      <w:ind w:right="-180"/>
      <w:rPr>
        <w:rFonts w:ascii="Times New Roman" w:hAnsi="Times New Roman"/>
        <w:smallCaps/>
      </w:rPr>
    </w:pPr>
    <w:r w:rsidRPr="003C1450">
      <w:rPr>
        <w:i/>
      </w:rPr>
      <w:t xml:space="preserve">Governor                                                                                                                   </w:t>
    </w:r>
    <w:r>
      <w:rPr>
        <w:i/>
      </w:rPr>
      <w:t>Broadband Director</w:t>
    </w:r>
  </w:p>
  <w:p w14:paraId="3CE23B98" w14:textId="77777777" w:rsidR="009B4006" w:rsidRDefault="009B4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04480"/>
    <w:multiLevelType w:val="hybridMultilevel"/>
    <w:tmpl w:val="85383C28"/>
    <w:lvl w:ilvl="0" w:tplc="4AB43CA8">
      <w:start w:val="4"/>
      <w:numFmt w:val="bullet"/>
      <w:lvlText w:val=""/>
      <w:lvlJc w:val="left"/>
      <w:pPr>
        <w:ind w:left="720" w:hanging="360"/>
      </w:pPr>
      <w:rPr>
        <w:rFonts w:ascii="Symbol" w:eastAsiaTheme="minorEastAsia"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AE6A8C"/>
    <w:multiLevelType w:val="hybridMultilevel"/>
    <w:tmpl w:val="B42C9EDE"/>
    <w:lvl w:ilvl="0" w:tplc="B0FE71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9974047">
    <w:abstractNumId w:val="0"/>
  </w:num>
  <w:num w:numId="2" w16cid:durableId="193273973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pson, Erin, DoIT">
    <w15:presenceInfo w15:providerId="AD" w15:userId="S::Erin.Thompson@doit.nm.gov::b30ecc40-6fda-453a-833c-37285219b1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B99"/>
    <w:rsid w:val="00005C49"/>
    <w:rsid w:val="00035F2C"/>
    <w:rsid w:val="00044186"/>
    <w:rsid w:val="000A2BC9"/>
    <w:rsid w:val="000A7624"/>
    <w:rsid w:val="000B4718"/>
    <w:rsid w:val="000C5327"/>
    <w:rsid w:val="000F61CB"/>
    <w:rsid w:val="00103AA1"/>
    <w:rsid w:val="00107A66"/>
    <w:rsid w:val="001157C2"/>
    <w:rsid w:val="00144EE7"/>
    <w:rsid w:val="0014550B"/>
    <w:rsid w:val="001735B3"/>
    <w:rsid w:val="00175F90"/>
    <w:rsid w:val="00207A47"/>
    <w:rsid w:val="00216E07"/>
    <w:rsid w:val="00303B99"/>
    <w:rsid w:val="00333266"/>
    <w:rsid w:val="0035055D"/>
    <w:rsid w:val="003609D9"/>
    <w:rsid w:val="00383939"/>
    <w:rsid w:val="003930A9"/>
    <w:rsid w:val="003E504C"/>
    <w:rsid w:val="003F5E28"/>
    <w:rsid w:val="003F79CF"/>
    <w:rsid w:val="004115CD"/>
    <w:rsid w:val="004132DC"/>
    <w:rsid w:val="00477568"/>
    <w:rsid w:val="00482B06"/>
    <w:rsid w:val="004846C1"/>
    <w:rsid w:val="004929C5"/>
    <w:rsid w:val="004B3B6D"/>
    <w:rsid w:val="004C6A42"/>
    <w:rsid w:val="004F137B"/>
    <w:rsid w:val="005007DE"/>
    <w:rsid w:val="0051745B"/>
    <w:rsid w:val="00527E65"/>
    <w:rsid w:val="005403CF"/>
    <w:rsid w:val="00552F97"/>
    <w:rsid w:val="00570575"/>
    <w:rsid w:val="005B3039"/>
    <w:rsid w:val="0064791B"/>
    <w:rsid w:val="006667CD"/>
    <w:rsid w:val="00673CC2"/>
    <w:rsid w:val="00681594"/>
    <w:rsid w:val="006E7324"/>
    <w:rsid w:val="00715B21"/>
    <w:rsid w:val="00745397"/>
    <w:rsid w:val="00747C0B"/>
    <w:rsid w:val="007559DF"/>
    <w:rsid w:val="00762B5A"/>
    <w:rsid w:val="007639CD"/>
    <w:rsid w:val="007A2741"/>
    <w:rsid w:val="007C004E"/>
    <w:rsid w:val="007D0491"/>
    <w:rsid w:val="007D4906"/>
    <w:rsid w:val="007D6C19"/>
    <w:rsid w:val="007E335B"/>
    <w:rsid w:val="007F0426"/>
    <w:rsid w:val="00831F9A"/>
    <w:rsid w:val="008A4E6A"/>
    <w:rsid w:val="008E04B0"/>
    <w:rsid w:val="008E2F06"/>
    <w:rsid w:val="008E6F2D"/>
    <w:rsid w:val="008F5E20"/>
    <w:rsid w:val="00920F8D"/>
    <w:rsid w:val="009409F3"/>
    <w:rsid w:val="00944173"/>
    <w:rsid w:val="00956290"/>
    <w:rsid w:val="009840C3"/>
    <w:rsid w:val="00986510"/>
    <w:rsid w:val="00996081"/>
    <w:rsid w:val="009B4006"/>
    <w:rsid w:val="009E13D4"/>
    <w:rsid w:val="009F6897"/>
    <w:rsid w:val="00A16425"/>
    <w:rsid w:val="00A353BE"/>
    <w:rsid w:val="00A73F01"/>
    <w:rsid w:val="00AA2AA8"/>
    <w:rsid w:val="00AB5FCE"/>
    <w:rsid w:val="00AE5F42"/>
    <w:rsid w:val="00B37BB0"/>
    <w:rsid w:val="00B44165"/>
    <w:rsid w:val="00B4792A"/>
    <w:rsid w:val="00B66C8C"/>
    <w:rsid w:val="00B67CAD"/>
    <w:rsid w:val="00B70F61"/>
    <w:rsid w:val="00B75C8E"/>
    <w:rsid w:val="00B81920"/>
    <w:rsid w:val="00BC38FA"/>
    <w:rsid w:val="00BC4802"/>
    <w:rsid w:val="00BE4BBE"/>
    <w:rsid w:val="00C02944"/>
    <w:rsid w:val="00C068DC"/>
    <w:rsid w:val="00C67CB3"/>
    <w:rsid w:val="00CE7FFB"/>
    <w:rsid w:val="00CF1225"/>
    <w:rsid w:val="00D50246"/>
    <w:rsid w:val="00D574D1"/>
    <w:rsid w:val="00D732B7"/>
    <w:rsid w:val="00D8535C"/>
    <w:rsid w:val="00D8727B"/>
    <w:rsid w:val="00DE5A00"/>
    <w:rsid w:val="00DF7CEF"/>
    <w:rsid w:val="00E005E0"/>
    <w:rsid w:val="00E310C9"/>
    <w:rsid w:val="00E615EE"/>
    <w:rsid w:val="00E71ECF"/>
    <w:rsid w:val="00E83EFA"/>
    <w:rsid w:val="00EB797B"/>
    <w:rsid w:val="00ED1F30"/>
    <w:rsid w:val="00F015A7"/>
    <w:rsid w:val="00F12EBC"/>
    <w:rsid w:val="00F56197"/>
    <w:rsid w:val="00F6017A"/>
    <w:rsid w:val="00F67767"/>
    <w:rsid w:val="00FB1865"/>
    <w:rsid w:val="00FB4805"/>
    <w:rsid w:val="00FC0103"/>
    <w:rsid w:val="00FF1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D7D8C"/>
  <w15:chartTrackingRefBased/>
  <w15:docId w15:val="{5FFDF732-F7C4-4EE8-BA0F-8C4C4014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B99"/>
    <w:pPr>
      <w:spacing w:after="0" w:line="240" w:lineRule="auto"/>
    </w:pPr>
    <w:rPr>
      <w:kern w:val="0"/>
      <w:sz w:val="24"/>
      <w:szCs w:val="24"/>
      <w14:ligatures w14:val="none"/>
    </w:rPr>
  </w:style>
  <w:style w:type="paragraph" w:styleId="Heading1">
    <w:name w:val="heading 1"/>
    <w:basedOn w:val="Normal"/>
    <w:next w:val="Normal"/>
    <w:link w:val="Heading1Char"/>
    <w:uiPriority w:val="9"/>
    <w:qFormat/>
    <w:rsid w:val="00303B99"/>
    <w:pPr>
      <w:keepNext/>
      <w:keepLines/>
      <w:spacing w:before="240" w:line="259" w:lineRule="auto"/>
      <w:outlineLvl w:val="0"/>
    </w:pPr>
    <w:rPr>
      <w:rFonts w:asciiTheme="majorHAnsi" w:eastAsiaTheme="majorEastAsia" w:hAnsiTheme="majorHAnsi" w:cstheme="majorBidi"/>
      <w:color w:val="2F5496" w:themeColor="accent1" w:themeShade="BF"/>
      <w:kern w:val="2"/>
      <w:sz w:val="32"/>
      <w:szCs w:val="3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B9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75C8E"/>
    <w:pPr>
      <w:tabs>
        <w:tab w:val="center" w:pos="4680"/>
        <w:tab w:val="right" w:pos="9360"/>
      </w:tabs>
    </w:pPr>
  </w:style>
  <w:style w:type="character" w:customStyle="1" w:styleId="HeaderChar">
    <w:name w:val="Header Char"/>
    <w:basedOn w:val="DefaultParagraphFont"/>
    <w:link w:val="Header"/>
    <w:uiPriority w:val="99"/>
    <w:rsid w:val="00B75C8E"/>
    <w:rPr>
      <w:kern w:val="0"/>
      <w:sz w:val="24"/>
      <w:szCs w:val="24"/>
      <w14:ligatures w14:val="none"/>
    </w:rPr>
  </w:style>
  <w:style w:type="paragraph" w:styleId="Footer">
    <w:name w:val="footer"/>
    <w:basedOn w:val="Normal"/>
    <w:link w:val="FooterChar"/>
    <w:uiPriority w:val="99"/>
    <w:unhideWhenUsed/>
    <w:rsid w:val="00B75C8E"/>
    <w:pPr>
      <w:tabs>
        <w:tab w:val="center" w:pos="4680"/>
        <w:tab w:val="right" w:pos="9360"/>
      </w:tabs>
    </w:pPr>
  </w:style>
  <w:style w:type="character" w:customStyle="1" w:styleId="FooterChar">
    <w:name w:val="Footer Char"/>
    <w:basedOn w:val="DefaultParagraphFont"/>
    <w:link w:val="Footer"/>
    <w:uiPriority w:val="99"/>
    <w:rsid w:val="00B75C8E"/>
    <w:rPr>
      <w:kern w:val="0"/>
      <w:sz w:val="24"/>
      <w:szCs w:val="24"/>
      <w14:ligatures w14:val="none"/>
    </w:rPr>
  </w:style>
  <w:style w:type="paragraph" w:styleId="ListParagraph">
    <w:name w:val="List Paragraph"/>
    <w:aliases w:val="2nd Bullet,Sub Bullet,Table/Figure Heading,texte de base,List Paragraph (numbered (a)),Normal 1,List Paragraph1,Resume Title,Citation List,Heading 41,Report Para,Number Bullets,WinDForce-Letter,Heading 2_sj,En tête 1,Indent Paragraph"/>
    <w:basedOn w:val="Normal"/>
    <w:link w:val="ListParagraphChar"/>
    <w:uiPriority w:val="1"/>
    <w:qFormat/>
    <w:rsid w:val="004132DC"/>
    <w:pPr>
      <w:ind w:left="720"/>
      <w:contextualSpacing/>
    </w:pPr>
    <w:rPr>
      <w:rFonts w:eastAsiaTheme="minorEastAsia"/>
    </w:rPr>
  </w:style>
  <w:style w:type="table" w:styleId="TableGrid">
    <w:name w:val="Table Grid"/>
    <w:basedOn w:val="TableNormal"/>
    <w:uiPriority w:val="59"/>
    <w:rsid w:val="004132DC"/>
    <w:pPr>
      <w:spacing w:after="0" w:line="240" w:lineRule="auto"/>
    </w:pPr>
    <w:rPr>
      <w:rFonts w:eastAsiaTheme="minorEastAsia"/>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nd Bullet Char,Sub Bullet Char,Table/Figure Heading Char,texte de base Char,List Paragraph (numbered (a)) Char,Normal 1 Char,List Paragraph1 Char,Resume Title Char,Citation List Char,Heading 41 Char,Report Para Char,En tête 1 Char"/>
    <w:basedOn w:val="DefaultParagraphFont"/>
    <w:link w:val="ListParagraph"/>
    <w:uiPriority w:val="1"/>
    <w:rsid w:val="004132DC"/>
    <w:rPr>
      <w:rFonts w:eastAsiaTheme="minorEastAsia"/>
      <w:kern w:val="0"/>
      <w:sz w:val="24"/>
      <w:szCs w:val="24"/>
      <w14:ligatures w14:val="none"/>
    </w:rPr>
  </w:style>
  <w:style w:type="character" w:styleId="Hyperlink">
    <w:name w:val="Hyperlink"/>
    <w:basedOn w:val="DefaultParagraphFont"/>
    <w:uiPriority w:val="99"/>
    <w:unhideWhenUsed/>
    <w:rsid w:val="006E7324"/>
    <w:rPr>
      <w:color w:val="0563C1" w:themeColor="hyperlink"/>
      <w:u w:val="single"/>
    </w:rPr>
  </w:style>
  <w:style w:type="character" w:styleId="UnresolvedMention">
    <w:name w:val="Unresolved Mention"/>
    <w:basedOn w:val="DefaultParagraphFont"/>
    <w:uiPriority w:val="99"/>
    <w:semiHidden/>
    <w:unhideWhenUsed/>
    <w:rsid w:val="006E7324"/>
    <w:rPr>
      <w:color w:val="605E5C"/>
      <w:shd w:val="clear" w:color="auto" w:fill="E1DFDD"/>
    </w:rPr>
  </w:style>
  <w:style w:type="paragraph" w:styleId="Revision">
    <w:name w:val="Revision"/>
    <w:hidden/>
    <w:uiPriority w:val="99"/>
    <w:semiHidden/>
    <w:rsid w:val="00681594"/>
    <w:pPr>
      <w:spacing w:after="0" w:line="240" w:lineRule="auto"/>
    </w:pPr>
    <w:rPr>
      <w:kern w:val="0"/>
      <w:sz w:val="24"/>
      <w:szCs w:val="24"/>
      <w14:ligatures w14:val="none"/>
    </w:rPr>
  </w:style>
  <w:style w:type="character" w:styleId="FollowedHyperlink">
    <w:name w:val="FollowedHyperlink"/>
    <w:basedOn w:val="DefaultParagraphFont"/>
    <w:uiPriority w:val="99"/>
    <w:semiHidden/>
    <w:unhideWhenUsed/>
    <w:rsid w:val="00986510"/>
    <w:rPr>
      <w:color w:val="954F72" w:themeColor="followedHyperlink"/>
      <w:u w:val="single"/>
    </w:rPr>
  </w:style>
  <w:style w:type="table" w:customStyle="1" w:styleId="TableGrid1">
    <w:name w:val="Table Grid1"/>
    <w:basedOn w:val="TableNormal"/>
    <w:next w:val="TableGrid"/>
    <w:uiPriority w:val="39"/>
    <w:rsid w:val="00673CC2"/>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57C2"/>
    <w:rPr>
      <w:sz w:val="16"/>
      <w:szCs w:val="16"/>
    </w:rPr>
  </w:style>
  <w:style w:type="paragraph" w:styleId="CommentText">
    <w:name w:val="annotation text"/>
    <w:basedOn w:val="Normal"/>
    <w:link w:val="CommentTextChar"/>
    <w:uiPriority w:val="99"/>
    <w:unhideWhenUsed/>
    <w:rsid w:val="001157C2"/>
    <w:rPr>
      <w:sz w:val="20"/>
      <w:szCs w:val="20"/>
    </w:rPr>
  </w:style>
  <w:style w:type="character" w:customStyle="1" w:styleId="CommentTextChar">
    <w:name w:val="Comment Text Char"/>
    <w:basedOn w:val="DefaultParagraphFont"/>
    <w:link w:val="CommentText"/>
    <w:uiPriority w:val="99"/>
    <w:rsid w:val="001157C2"/>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157C2"/>
    <w:rPr>
      <w:b/>
      <w:bCs/>
    </w:rPr>
  </w:style>
  <w:style w:type="character" w:customStyle="1" w:styleId="CommentSubjectChar">
    <w:name w:val="Comment Subject Char"/>
    <w:basedOn w:val="CommentTextChar"/>
    <w:link w:val="CommentSubject"/>
    <w:uiPriority w:val="99"/>
    <w:semiHidden/>
    <w:rsid w:val="001157C2"/>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02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A8B23-7CE7-44EE-AD55-9DD147C5D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Kinnard Thompson</dc:creator>
  <cp:keywords/>
  <dc:description/>
  <cp:lastModifiedBy>Thompson, Erin, DoIT</cp:lastModifiedBy>
  <cp:revision>3</cp:revision>
  <dcterms:created xsi:type="dcterms:W3CDTF">2023-03-28T16:16:00Z</dcterms:created>
  <dcterms:modified xsi:type="dcterms:W3CDTF">2023-03-28T16:17:00Z</dcterms:modified>
</cp:coreProperties>
</file>